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SCHEDULE 13G/A</w:t>
      </w:r>
    </w:p>
    <w:p>
      <w:pPr>
        <w:spacing w:after="0" w:line="212"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(Amendment No. 4)*</w:t>
      </w:r>
    </w:p>
    <w:p>
      <w:pPr>
        <w:spacing w:after="0" w:line="200"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H&amp;R Block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093671105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12/31/2022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56" w:lineRule="exact"/>
        <w:rPr>
          <w:sz w:val="24"/>
          <w:szCs w:val="24"/>
          <w:color w:val="auto"/>
        </w:rPr>
      </w:pPr>
    </w:p>
    <w:p>
      <w:pPr>
        <w:ind w:left="10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320"/>
        <w:spacing w:after="0"/>
        <w:rPr>
          <w:sz w:val="20"/>
          <w:szCs w:val="20"/>
          <w:color w:val="auto"/>
        </w:rPr>
      </w:pPr>
      <w:r>
        <w:rPr>
          <w:rFonts w:ascii="Arial" w:cs="Arial" w:eastAsia="Arial" w:hAnsi="Arial"/>
          <w:sz w:val="22"/>
          <w:szCs w:val="22"/>
          <w:color w:val="auto"/>
        </w:rPr>
        <w:t>[_] Rule 13d-1(b)</w:t>
      </w:r>
    </w:p>
    <w:p>
      <w:pPr>
        <w:spacing w:after="0" w:line="21" w:lineRule="exact"/>
        <w:rPr>
          <w:sz w:val="24"/>
          <w:szCs w:val="24"/>
          <w:color w:val="auto"/>
        </w:rPr>
      </w:pPr>
    </w:p>
    <w:p>
      <w:pPr>
        <w:jc w:val="both"/>
        <w:ind w:left="320" w:right="9300" w:hanging="2"/>
        <w:spacing w:after="0" w:line="323" w:lineRule="auto"/>
        <w:tabs>
          <w:tab w:leader="none" w:pos="72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[_] Rule 13d-1(d)</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(Page 1 of 7)</w:t>
      </w:r>
    </w:p>
    <w:p>
      <w:pPr>
        <w:spacing w:after="0" w:line="220"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2 of 7 Pages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w:t>
            </w:r>
          </w:p>
        </w:tc>
        <w:tc>
          <w:tcPr>
            <w:tcW w:w="774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Names of Reporting Persons</w:t>
            </w:r>
          </w:p>
        </w:tc>
        <w:tc>
          <w:tcPr>
            <w:tcW w:w="7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Jupiter Asset Management Ltd</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740" w:type="dxa"/>
            <w:vAlign w:val="bottom"/>
            <w:tcBorders>
              <w:bottom w:val="single" w:sz="8" w:color="auto"/>
            </w:tcBorders>
            <w:gridSpan w:val="3"/>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w:t>
            </w:r>
          </w:p>
        </w:tc>
        <w:tc>
          <w:tcPr>
            <w:tcW w:w="7740" w:type="dxa"/>
            <w:vAlign w:val="bottom"/>
            <w:tcBorders>
              <w:right w:val="single" w:sz="8" w:color="auto"/>
            </w:tcBorders>
            <w:gridSpan w:val="3"/>
          </w:tcPr>
          <w:p>
            <w:pPr>
              <w:ind w:left="18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700" w:type="dxa"/>
            <w:vAlign w:val="bottom"/>
          </w:tcPr>
          <w:p>
            <w:pPr>
              <w:ind w:left="400"/>
              <w:spacing w:after="0"/>
              <w:rPr>
                <w:sz w:val="20"/>
                <w:szCs w:val="20"/>
                <w:color w:val="auto"/>
              </w:rPr>
            </w:pPr>
            <w:r>
              <w:rPr>
                <w:rFonts w:ascii="Arial" w:cs="Arial" w:eastAsia="Arial" w:hAnsi="Arial"/>
                <w:sz w:val="22"/>
                <w:szCs w:val="22"/>
                <w:color w:val="auto"/>
              </w:rPr>
              <w:t>(a)</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Borders>
              <w:right w:val="single" w:sz="8" w:color="auto"/>
            </w:tcBorders>
          </w:tcPr>
          <w:p>
            <w:pPr>
              <w:spacing w:after="0"/>
              <w:rPr>
                <w:sz w:val="24"/>
                <w:szCs w:val="24"/>
                <w:color w:val="auto"/>
              </w:rPr>
            </w:pPr>
          </w:p>
        </w:tc>
        <w:tc>
          <w:tcPr>
            <w:tcW w:w="700" w:type="dxa"/>
            <w:vAlign w:val="bottom"/>
          </w:tcPr>
          <w:p>
            <w:pPr>
              <w:ind w:left="400"/>
              <w:spacing w:after="0"/>
              <w:rPr>
                <w:sz w:val="20"/>
                <w:szCs w:val="20"/>
                <w:color w:val="auto"/>
              </w:rPr>
            </w:pPr>
            <w:r>
              <w:rPr>
                <w:rFonts w:ascii="Arial" w:cs="Arial" w:eastAsia="Arial" w:hAnsi="Arial"/>
                <w:sz w:val="22"/>
                <w:szCs w:val="22"/>
                <w:color w:val="auto"/>
              </w:rPr>
              <w:t>(b)</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7740" w:type="dxa"/>
            <w:vAlign w:val="bottom"/>
            <w:tcBorders>
              <w:bottom w:val="single" w:sz="8" w:color="auto"/>
              <w:right w:val="single" w:sz="8" w:color="auto"/>
            </w:tcBorders>
            <w:gridSpan w:val="3"/>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3</w:t>
            </w:r>
          </w:p>
        </w:tc>
        <w:tc>
          <w:tcPr>
            <w:tcW w:w="7740" w:type="dxa"/>
            <w:vAlign w:val="bottom"/>
            <w:gridSpan w:val="3"/>
          </w:tcPr>
          <w:p>
            <w:pPr>
              <w:ind w:left="180"/>
              <w:spacing w:after="0"/>
              <w:rPr>
                <w:sz w:val="20"/>
                <w:szCs w:val="20"/>
                <w:color w:val="auto"/>
              </w:rPr>
            </w:pPr>
            <w:r>
              <w:rPr>
                <w:rFonts w:ascii="Arial" w:cs="Arial" w:eastAsia="Arial" w:hAnsi="Arial"/>
                <w:sz w:val="22"/>
                <w:szCs w:val="22"/>
                <w:color w:val="auto"/>
              </w:rPr>
              <w:t>SEC Use Only</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7740" w:type="dxa"/>
            <w:vAlign w:val="bottom"/>
            <w:tcBorders>
              <w:bottom w:val="single" w:sz="8" w:color="auto"/>
            </w:tcBorders>
            <w:gridSpan w:val="3"/>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4</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Citizenship or Place of Organization</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England and Wales</w:t>
            </w: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ind w:left="400"/>
              <w:spacing w:after="0"/>
              <w:rPr>
                <w:sz w:val="20"/>
                <w:szCs w:val="20"/>
                <w:color w:val="auto"/>
              </w:rPr>
            </w:pPr>
            <w:r>
              <w:rPr>
                <w:rFonts w:ascii="Arial" w:cs="Arial" w:eastAsia="Arial" w:hAnsi="Arial"/>
                <w:sz w:val="22"/>
                <w:szCs w:val="22"/>
                <w:color w:val="auto"/>
              </w:rPr>
              <w:t>5</w:t>
            </w:r>
          </w:p>
        </w:tc>
        <w:tc>
          <w:tcPr>
            <w:tcW w:w="200" w:type="dxa"/>
            <w:vAlign w:val="bottom"/>
          </w:tcPr>
          <w:p>
            <w:pPr>
              <w:spacing w:after="0"/>
              <w:rPr>
                <w:sz w:val="24"/>
                <w:szCs w:val="24"/>
                <w:color w:val="auto"/>
              </w:rPr>
            </w:pPr>
          </w:p>
        </w:tc>
        <w:tc>
          <w:tcPr>
            <w:tcW w:w="664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Pr>
          <w:p>
            <w:pPr>
              <w:ind w:left="100"/>
              <w:spacing w:after="0"/>
              <w:rPr>
                <w:sz w:val="20"/>
                <w:szCs w:val="20"/>
                <w:color w:val="auto"/>
              </w:rPr>
            </w:pPr>
            <w:r>
              <w:rPr>
                <w:rFonts w:ascii="Arial" w:cs="Arial" w:eastAsia="Arial" w:hAnsi="Arial"/>
                <w:sz w:val="22"/>
                <w:szCs w:val="22"/>
                <w:color w:val="auto"/>
              </w:rPr>
              <w:t>0</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Number of Shares</w:t>
            </w:r>
          </w:p>
        </w:tc>
        <w:tc>
          <w:tcPr>
            <w:tcW w:w="90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vMerge w:val="continue"/>
          </w:tcPr>
          <w:p>
            <w:pPr>
              <w:spacing w:after="0"/>
              <w:rPr>
                <w:sz w:val="17"/>
                <w:szCs w:val="17"/>
                <w:color w:val="auto"/>
              </w:rPr>
            </w:pPr>
          </w:p>
        </w:tc>
        <w:tc>
          <w:tcPr>
            <w:tcW w:w="900" w:type="dxa"/>
            <w:vAlign w:val="bottom"/>
            <w:tcBorders>
              <w:right w:val="single" w:sz="8" w:color="auto"/>
            </w:tcBorders>
            <w:vMerge w:val="restart"/>
          </w:tcPr>
          <w:p>
            <w:pPr>
              <w:ind w:left="400"/>
              <w:spacing w:after="0"/>
              <w:rPr>
                <w:sz w:val="20"/>
                <w:szCs w:val="20"/>
                <w:color w:val="auto"/>
              </w:rPr>
            </w:pPr>
            <w:r>
              <w:rPr>
                <w:rFonts w:ascii="Arial" w:cs="Arial" w:eastAsia="Arial" w:hAnsi="Arial"/>
                <w:sz w:val="22"/>
                <w:szCs w:val="22"/>
                <w:color w:val="auto"/>
              </w:rPr>
              <w:t>6</w:t>
            </w:r>
          </w:p>
        </w:tc>
        <w:tc>
          <w:tcPr>
            <w:tcW w:w="200" w:type="dxa"/>
            <w:vAlign w:val="bottom"/>
          </w:tcPr>
          <w:p>
            <w:pPr>
              <w:spacing w:after="0"/>
              <w:rPr>
                <w:sz w:val="17"/>
                <w:szCs w:val="17"/>
                <w:color w:val="auto"/>
              </w:rPr>
            </w:pPr>
          </w:p>
        </w:tc>
        <w:tc>
          <w:tcPr>
            <w:tcW w:w="664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7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4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95"/>
              </w:rPr>
              <w:t>Beneficially</w:t>
            </w:r>
          </w:p>
        </w:tc>
        <w:tc>
          <w:tcPr>
            <w:tcW w:w="90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94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40" w:type="dxa"/>
            <w:vAlign w:val="bottom"/>
            <w:vMerge w:val="restart"/>
          </w:tcPr>
          <w:p>
            <w:pPr>
              <w:ind w:left="120"/>
              <w:spacing w:after="0"/>
              <w:rPr>
                <w:sz w:val="20"/>
                <w:szCs w:val="20"/>
                <w:color w:val="auto"/>
              </w:rPr>
            </w:pPr>
            <w:r>
              <w:rPr>
                <w:rFonts w:ascii="Arial" w:cs="Arial" w:eastAsia="Arial" w:hAnsi="Arial"/>
                <w:sz w:val="22"/>
                <w:szCs w:val="22"/>
                <w:color w:val="auto"/>
              </w:rPr>
              <w:t>1,060,000</w:t>
            </w:r>
          </w:p>
        </w:tc>
        <w:tc>
          <w:tcPr>
            <w:tcW w:w="7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Owned by Each</w:t>
            </w:r>
          </w:p>
        </w:tc>
        <w:tc>
          <w:tcPr>
            <w:tcW w:w="9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6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94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Arial" w:cs="Arial" w:eastAsia="Arial" w:hAnsi="Arial"/>
                <w:sz w:val="22"/>
                <w:szCs w:val="22"/>
                <w:color w:val="auto"/>
                <w:w w:val="87"/>
              </w:rPr>
              <w:t>Reporting Person</w:t>
            </w:r>
          </w:p>
        </w:tc>
        <w:tc>
          <w:tcPr>
            <w:tcW w:w="90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40" w:type="dxa"/>
            <w:vAlign w:val="bottom"/>
            <w:tcBorders>
              <w:left w:val="single" w:sz="8" w:color="auto"/>
              <w:right w:val="single" w:sz="8" w:color="auto"/>
            </w:tcBorders>
            <w:vMerge w:val="continue"/>
          </w:tcPr>
          <w:p>
            <w:pPr>
              <w:spacing w:after="0"/>
              <w:rPr>
                <w:sz w:val="14"/>
                <w:szCs w:val="14"/>
                <w:color w:val="auto"/>
              </w:rPr>
            </w:pPr>
          </w:p>
        </w:tc>
        <w:tc>
          <w:tcPr>
            <w:tcW w:w="900" w:type="dxa"/>
            <w:vAlign w:val="bottom"/>
            <w:tcBorders>
              <w:right w:val="single" w:sz="8" w:color="auto"/>
            </w:tcBorders>
            <w:vMerge w:val="restart"/>
          </w:tcPr>
          <w:p>
            <w:pPr>
              <w:ind w:left="400"/>
              <w:spacing w:after="0"/>
              <w:rPr>
                <w:sz w:val="20"/>
                <w:szCs w:val="20"/>
                <w:color w:val="auto"/>
              </w:rPr>
            </w:pPr>
            <w:r>
              <w:rPr>
                <w:rFonts w:ascii="Arial" w:cs="Arial" w:eastAsia="Arial" w:hAnsi="Arial"/>
                <w:sz w:val="22"/>
                <w:szCs w:val="22"/>
                <w:color w:val="auto"/>
              </w:rPr>
              <w:t>7</w:t>
            </w:r>
          </w:p>
        </w:tc>
        <w:tc>
          <w:tcPr>
            <w:tcW w:w="200" w:type="dxa"/>
            <w:vAlign w:val="bottom"/>
          </w:tcPr>
          <w:p>
            <w:pPr>
              <w:spacing w:after="0"/>
              <w:rPr>
                <w:sz w:val="14"/>
                <w:szCs w:val="14"/>
                <w:color w:val="auto"/>
              </w:rPr>
            </w:pPr>
          </w:p>
        </w:tc>
        <w:tc>
          <w:tcPr>
            <w:tcW w:w="6640" w:type="dxa"/>
            <w:vAlign w:val="bottom"/>
            <w:vMerge w:val="restart"/>
          </w:tcPr>
          <w:p>
            <w:pPr>
              <w:ind w:left="100"/>
              <w:spacing w:after="0"/>
              <w:rPr>
                <w:sz w:val="20"/>
                <w:szCs w:val="20"/>
                <w:color w:val="auto"/>
              </w:rPr>
            </w:pPr>
            <w:r>
              <w:rPr>
                <w:rFonts w:ascii="Arial" w:cs="Arial" w:eastAsia="Arial" w:hAnsi="Arial"/>
                <w:sz w:val="22"/>
                <w:szCs w:val="22"/>
                <w:color w:val="auto"/>
              </w:rPr>
              <w:t>Sole Dispositive Power</w:t>
            </w:r>
          </w:p>
        </w:tc>
        <w:tc>
          <w:tcPr>
            <w:tcW w:w="7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With:</w:t>
            </w:r>
          </w:p>
        </w:tc>
        <w:tc>
          <w:tcPr>
            <w:tcW w:w="900" w:type="dxa"/>
            <w:vAlign w:val="bottom"/>
            <w:tcBorders>
              <w:right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66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940" w:type="dxa"/>
            <w:vAlign w:val="bottom"/>
            <w:tcBorders>
              <w:left w:val="single" w:sz="8" w:color="auto"/>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4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70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ind w:left="400"/>
              <w:spacing w:after="0"/>
              <w:rPr>
                <w:sz w:val="20"/>
                <w:szCs w:val="20"/>
                <w:color w:val="auto"/>
              </w:rPr>
            </w:pPr>
            <w:r>
              <w:rPr>
                <w:rFonts w:ascii="Arial" w:cs="Arial" w:eastAsia="Arial" w:hAnsi="Arial"/>
                <w:sz w:val="22"/>
                <w:szCs w:val="22"/>
                <w:color w:val="auto"/>
              </w:rPr>
              <w:t>8</w:t>
            </w:r>
          </w:p>
        </w:tc>
        <w:tc>
          <w:tcPr>
            <w:tcW w:w="200" w:type="dxa"/>
            <w:vAlign w:val="bottom"/>
          </w:tcPr>
          <w:p>
            <w:pPr>
              <w:spacing w:after="0"/>
              <w:rPr>
                <w:sz w:val="24"/>
                <w:szCs w:val="24"/>
                <w:color w:val="auto"/>
              </w:rPr>
            </w:pPr>
          </w:p>
        </w:tc>
        <w:tc>
          <w:tcPr>
            <w:tcW w:w="6640" w:type="dxa"/>
            <w:vAlign w:val="bottom"/>
          </w:tcPr>
          <w:p>
            <w:pPr>
              <w:ind w:left="100"/>
              <w:spacing w:after="0"/>
              <w:rPr>
                <w:sz w:val="20"/>
                <w:szCs w:val="20"/>
                <w:color w:val="auto"/>
              </w:rPr>
            </w:pPr>
            <w:r>
              <w:rPr>
                <w:rFonts w:ascii="Arial" w:cs="Arial" w:eastAsia="Arial" w:hAnsi="Arial"/>
                <w:sz w:val="22"/>
                <w:szCs w:val="22"/>
                <w:color w:val="auto"/>
              </w:rPr>
              <w:t>Shared Dispositive Power</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Pr>
          <w:p>
            <w:pPr>
              <w:ind w:left="120"/>
              <w:spacing w:after="0"/>
              <w:rPr>
                <w:sz w:val="20"/>
                <w:szCs w:val="20"/>
                <w:color w:val="auto"/>
              </w:rPr>
            </w:pPr>
            <w:r>
              <w:rPr>
                <w:rFonts w:ascii="Arial" w:cs="Arial" w:eastAsia="Arial" w:hAnsi="Arial"/>
                <w:sz w:val="22"/>
                <w:szCs w:val="22"/>
                <w:color w:val="auto"/>
              </w:rPr>
              <w:t>1,060,000</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684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9</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7740" w:type="dxa"/>
            <w:vAlign w:val="bottom"/>
            <w:gridSpan w:val="3"/>
          </w:tcPr>
          <w:p>
            <w:pPr>
              <w:ind w:left="400"/>
              <w:spacing w:after="0"/>
              <w:rPr>
                <w:sz w:val="20"/>
                <w:szCs w:val="20"/>
                <w:color w:val="auto"/>
              </w:rPr>
            </w:pPr>
            <w:r>
              <w:rPr>
                <w:rFonts w:ascii="Arial" w:cs="Arial" w:eastAsia="Arial" w:hAnsi="Arial"/>
                <w:sz w:val="22"/>
                <w:szCs w:val="22"/>
                <w:color w:val="auto"/>
              </w:rPr>
              <w:t>1,060,000</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84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w w:val="88"/>
              </w:rPr>
              <w:t>Check box if the aggregate amount in row (9) excludes certain shares (See Instructions)</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900" w:type="dxa"/>
            <w:vAlign w:val="bottom"/>
          </w:tcPr>
          <w:p>
            <w:pPr>
              <w:ind w:left="400"/>
              <w:spacing w:after="0"/>
              <w:rPr>
                <w:sz w:val="20"/>
                <w:szCs w:val="20"/>
                <w:color w:val="auto"/>
              </w:rPr>
            </w:pPr>
            <w:r>
              <w:rPr>
                <w:rFonts w:ascii="Arial" w:cs="Arial" w:eastAsia="Arial" w:hAnsi="Arial"/>
                <w:sz w:val="22"/>
                <w:szCs w:val="22"/>
                <w:color w:val="auto"/>
              </w:rPr>
              <w:t>[ ]</w:t>
            </w:r>
          </w:p>
        </w:tc>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84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11</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Arial" w:cs="Arial" w:eastAsia="Arial" w:hAnsi="Arial"/>
                <w:sz w:val="22"/>
                <w:szCs w:val="22"/>
                <w:color w:val="auto"/>
              </w:rPr>
              <w:t>0.68%</w:t>
            </w:r>
          </w:p>
        </w:tc>
        <w:tc>
          <w:tcPr>
            <w:tcW w:w="6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84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12</w:t>
            </w:r>
          </w:p>
        </w:tc>
        <w:tc>
          <w:tcPr>
            <w:tcW w:w="7740" w:type="dxa"/>
            <w:vAlign w:val="bottom"/>
            <w:gridSpan w:val="3"/>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Arial" w:cs="Arial" w:eastAsia="Arial" w:hAnsi="Arial"/>
                <w:sz w:val="22"/>
                <w:szCs w:val="22"/>
                <w:color w:val="auto"/>
              </w:rPr>
              <w:t>OO, FI</w:t>
            </w:r>
          </w:p>
        </w:tc>
        <w:tc>
          <w:tcPr>
            <w:tcW w:w="6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3 of 7 Pages</w:t>
      </w:r>
    </w:p>
    <w:p>
      <w:pPr>
        <w:sectPr>
          <w:pgSz w:w="11900" w:h="16838" w:orient="portrait"/>
          <w:cols w:equalWidth="0" w:num="1">
            <w:col w:w="11240"/>
          </w:cols>
          <w:pgMar w:left="320" w:top="229" w:right="339" w:bottom="1440" w:gutter="0" w:footer="0" w:header="0"/>
        </w:sectPr>
      </w:pPr>
    </w:p>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126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1860" w:type="dxa"/>
            <w:vAlign w:val="bottom"/>
            <w:gridSpan w:val="2"/>
          </w:tcPr>
          <w:p>
            <w:pPr>
              <w:ind w:left="320"/>
              <w:spacing w:after="0"/>
              <w:rPr>
                <w:sz w:val="20"/>
                <w:szCs w:val="20"/>
                <w:color w:val="auto"/>
              </w:rPr>
            </w:pPr>
            <w:r>
              <w:rPr>
                <w:rFonts w:ascii="Arial" w:cs="Arial" w:eastAsia="Arial" w:hAnsi="Arial"/>
                <w:sz w:val="22"/>
                <w:szCs w:val="22"/>
                <w:b w:val="1"/>
                <w:bCs w:val="1"/>
                <w:color w:val="auto"/>
                <w:w w:val="92"/>
              </w:rPr>
              <w:t>Name of Issuer:</w:t>
            </w:r>
          </w:p>
        </w:tc>
        <w:tc>
          <w:tcPr>
            <w:tcW w:w="7820" w:type="dxa"/>
            <w:vAlign w:val="bottom"/>
          </w:tcPr>
          <w:p>
            <w:pPr>
              <w:spacing w:after="0"/>
              <w:rPr>
                <w:sz w:val="24"/>
                <w:szCs w:val="24"/>
                <w:color w:val="auto"/>
              </w:rPr>
            </w:pPr>
          </w:p>
        </w:tc>
      </w:tr>
      <w:tr>
        <w:trPr>
          <w:trHeight w:val="486"/>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H&amp;R Block Inc. (the “Issuer”)</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1(b).</w:t>
            </w:r>
          </w:p>
        </w:tc>
        <w:tc>
          <w:tcPr>
            <w:tcW w:w="9680" w:type="dxa"/>
            <w:vAlign w:val="bottom"/>
            <w:gridSpan w:val="3"/>
          </w:tcPr>
          <w:p>
            <w:pPr>
              <w:ind w:left="320"/>
              <w:spacing w:after="0"/>
              <w:rPr>
                <w:sz w:val="20"/>
                <w:szCs w:val="20"/>
                <w:color w:val="auto"/>
              </w:rPr>
            </w:pPr>
            <w:r>
              <w:rPr>
                <w:rFonts w:ascii="Arial" w:cs="Arial" w:eastAsia="Arial" w:hAnsi="Arial"/>
                <w:sz w:val="22"/>
                <w:szCs w:val="22"/>
                <w:b w:val="1"/>
                <w:bCs w:val="1"/>
                <w:color w:val="auto"/>
              </w:rPr>
              <w:t>Address of Issuer’s Principal Executive Offices:</w:t>
            </w:r>
          </w:p>
        </w:tc>
      </w:tr>
      <w:tr>
        <w:trPr>
          <w:trHeight w:val="486"/>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One H&amp;R Block Way Kansas City Missouri 64105</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2(a).</w:t>
            </w:r>
          </w:p>
        </w:tc>
        <w:tc>
          <w:tcPr>
            <w:tcW w:w="9680" w:type="dxa"/>
            <w:vAlign w:val="bottom"/>
            <w:gridSpan w:val="3"/>
          </w:tcPr>
          <w:p>
            <w:pPr>
              <w:ind w:left="320"/>
              <w:spacing w:after="0"/>
              <w:rPr>
                <w:sz w:val="20"/>
                <w:szCs w:val="20"/>
                <w:color w:val="auto"/>
              </w:rPr>
            </w:pPr>
            <w:r>
              <w:rPr>
                <w:rFonts w:ascii="Arial" w:cs="Arial" w:eastAsia="Arial" w:hAnsi="Arial"/>
                <w:sz w:val="22"/>
                <w:szCs w:val="22"/>
                <w:b w:val="1"/>
                <w:bCs w:val="1"/>
                <w:color w:val="auto"/>
              </w:rPr>
              <w:t>Name of Person Filing:</w:t>
            </w:r>
          </w:p>
        </w:tc>
      </w:tr>
      <w:tr>
        <w:trPr>
          <w:trHeight w:val="486"/>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Jupiter Asset Management Ltd</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2(b).</w:t>
            </w:r>
          </w:p>
        </w:tc>
        <w:tc>
          <w:tcPr>
            <w:tcW w:w="9680" w:type="dxa"/>
            <w:vAlign w:val="bottom"/>
            <w:gridSpan w:val="3"/>
          </w:tcPr>
          <w:p>
            <w:pPr>
              <w:ind w:left="320"/>
              <w:spacing w:after="0"/>
              <w:rPr>
                <w:sz w:val="20"/>
                <w:szCs w:val="20"/>
                <w:color w:val="auto"/>
              </w:rPr>
            </w:pPr>
            <w:r>
              <w:rPr>
                <w:rFonts w:ascii="Arial" w:cs="Arial" w:eastAsia="Arial" w:hAnsi="Arial"/>
                <w:sz w:val="22"/>
                <w:szCs w:val="22"/>
                <w:b w:val="1"/>
                <w:bCs w:val="1"/>
                <w:color w:val="auto"/>
              </w:rPr>
              <w:t>Address of Principal Business Office or, if None, Residence:</w:t>
            </w:r>
          </w:p>
        </w:tc>
      </w:tr>
      <w:tr>
        <w:trPr>
          <w:trHeight w:val="455"/>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Jupiter Asset Management Ltd The Zig Zag Building,</w:t>
            </w:r>
          </w:p>
        </w:tc>
      </w:tr>
      <w:tr>
        <w:trPr>
          <w:trHeight w:val="243"/>
        </w:trPr>
        <w:tc>
          <w:tcPr>
            <w:tcW w:w="1260" w:type="dxa"/>
            <w:vAlign w:val="bottom"/>
          </w:tcPr>
          <w:p>
            <w:pPr>
              <w:spacing w:after="0"/>
              <w:rPr>
                <w:sz w:val="21"/>
                <w:szCs w:val="21"/>
                <w:color w:val="auto"/>
              </w:rPr>
            </w:pPr>
          </w:p>
        </w:tc>
        <w:tc>
          <w:tcPr>
            <w:tcW w:w="9680" w:type="dxa"/>
            <w:vAlign w:val="bottom"/>
            <w:gridSpan w:val="3"/>
          </w:tcPr>
          <w:p>
            <w:pPr>
              <w:ind w:left="320"/>
              <w:spacing w:after="0" w:line="243" w:lineRule="exact"/>
              <w:rPr>
                <w:sz w:val="20"/>
                <w:szCs w:val="20"/>
                <w:color w:val="auto"/>
              </w:rPr>
            </w:pPr>
            <w:r>
              <w:rPr>
                <w:rFonts w:ascii="Arial" w:cs="Arial" w:eastAsia="Arial" w:hAnsi="Arial"/>
                <w:sz w:val="22"/>
                <w:szCs w:val="22"/>
                <w:color w:val="auto"/>
              </w:rPr>
              <w:t>70 Victoria Street,</w:t>
            </w:r>
          </w:p>
        </w:tc>
      </w:tr>
      <w:tr>
        <w:trPr>
          <w:trHeight w:val="274"/>
        </w:trPr>
        <w:tc>
          <w:tcPr>
            <w:tcW w:w="1260" w:type="dxa"/>
            <w:vAlign w:val="bottom"/>
          </w:tcPr>
          <w:p>
            <w:pPr>
              <w:spacing w:after="0"/>
              <w:rPr>
                <w:sz w:val="23"/>
                <w:szCs w:val="23"/>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London SW1E 6SQ</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2(c).</w:t>
            </w:r>
          </w:p>
        </w:tc>
        <w:tc>
          <w:tcPr>
            <w:tcW w:w="1860" w:type="dxa"/>
            <w:vAlign w:val="bottom"/>
            <w:gridSpan w:val="2"/>
          </w:tcPr>
          <w:p>
            <w:pPr>
              <w:ind w:left="320"/>
              <w:spacing w:after="0"/>
              <w:rPr>
                <w:sz w:val="20"/>
                <w:szCs w:val="20"/>
                <w:color w:val="auto"/>
              </w:rPr>
            </w:pPr>
            <w:r>
              <w:rPr>
                <w:rFonts w:ascii="Arial" w:cs="Arial" w:eastAsia="Arial" w:hAnsi="Arial"/>
                <w:sz w:val="22"/>
                <w:szCs w:val="22"/>
                <w:b w:val="1"/>
                <w:bCs w:val="1"/>
                <w:color w:val="auto"/>
              </w:rPr>
              <w:t>CITIZENSHIP:</w:t>
            </w:r>
          </w:p>
        </w:tc>
        <w:tc>
          <w:tcPr>
            <w:tcW w:w="7820" w:type="dxa"/>
            <w:vAlign w:val="bottom"/>
          </w:tcPr>
          <w:p>
            <w:pPr>
              <w:spacing w:after="0"/>
              <w:rPr>
                <w:sz w:val="24"/>
                <w:szCs w:val="24"/>
                <w:color w:val="auto"/>
              </w:rPr>
            </w:pPr>
          </w:p>
        </w:tc>
      </w:tr>
      <w:tr>
        <w:trPr>
          <w:trHeight w:val="486"/>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England and Wales</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9680" w:type="dxa"/>
            <w:vAlign w:val="bottom"/>
            <w:gridSpan w:val="3"/>
          </w:tcPr>
          <w:p>
            <w:pPr>
              <w:ind w:left="320"/>
              <w:spacing w:after="0"/>
              <w:rPr>
                <w:sz w:val="20"/>
                <w:szCs w:val="20"/>
                <w:color w:val="auto"/>
              </w:rPr>
            </w:pPr>
            <w:r>
              <w:rPr>
                <w:rFonts w:ascii="Arial" w:cs="Arial" w:eastAsia="Arial" w:hAnsi="Arial"/>
                <w:sz w:val="22"/>
                <w:szCs w:val="22"/>
                <w:b w:val="1"/>
                <w:bCs w:val="1"/>
                <w:color w:val="auto"/>
              </w:rPr>
              <w:t>TITLE AND CLASS OF SECURITIES:</w:t>
            </w:r>
          </w:p>
        </w:tc>
      </w:tr>
      <w:tr>
        <w:trPr>
          <w:trHeight w:val="486"/>
        </w:trPr>
        <w:tc>
          <w:tcPr>
            <w:tcW w:w="126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rPr>
              <w:t>Common Stock, without par value</w:t>
            </w:r>
          </w:p>
        </w:tc>
      </w:tr>
      <w:tr>
        <w:trPr>
          <w:trHeight w:val="486"/>
        </w:trPr>
        <w:tc>
          <w:tcPr>
            <w:tcW w:w="126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9680" w:type="dxa"/>
            <w:vAlign w:val="bottom"/>
            <w:gridSpan w:val="3"/>
          </w:tcPr>
          <w:p>
            <w:pPr>
              <w:ind w:left="320"/>
              <w:spacing w:after="0"/>
              <w:rPr>
                <w:sz w:val="20"/>
                <w:szCs w:val="20"/>
                <w:color w:val="auto"/>
              </w:rPr>
            </w:pPr>
            <w:r>
              <w:rPr>
                <w:rFonts w:ascii="Arial" w:cs="Arial" w:eastAsia="Arial" w:hAnsi="Arial"/>
                <w:sz w:val="22"/>
                <w:szCs w:val="22"/>
                <w:b w:val="1"/>
                <w:bCs w:val="1"/>
                <w:color w:val="auto"/>
              </w:rPr>
              <w:t>CUSIP NUMBER:</w:t>
            </w:r>
          </w:p>
        </w:tc>
      </w:tr>
      <w:tr>
        <w:trPr>
          <w:trHeight w:val="486"/>
        </w:trPr>
        <w:tc>
          <w:tcPr>
            <w:tcW w:w="1260" w:type="dxa"/>
            <w:vAlign w:val="bottom"/>
          </w:tcPr>
          <w:p>
            <w:pPr>
              <w:spacing w:after="0"/>
              <w:rPr>
                <w:sz w:val="24"/>
                <w:szCs w:val="24"/>
                <w:color w:val="auto"/>
              </w:rPr>
            </w:pPr>
          </w:p>
        </w:tc>
        <w:tc>
          <w:tcPr>
            <w:tcW w:w="1860" w:type="dxa"/>
            <w:vAlign w:val="bottom"/>
            <w:gridSpan w:val="2"/>
          </w:tcPr>
          <w:p>
            <w:pPr>
              <w:ind w:left="320"/>
              <w:spacing w:after="0"/>
              <w:rPr>
                <w:sz w:val="20"/>
                <w:szCs w:val="20"/>
                <w:color w:val="auto"/>
              </w:rPr>
            </w:pPr>
            <w:r>
              <w:rPr>
                <w:rFonts w:ascii="Arial" w:cs="Arial" w:eastAsia="Arial" w:hAnsi="Arial"/>
                <w:sz w:val="22"/>
                <w:szCs w:val="22"/>
                <w:color w:val="auto"/>
              </w:rPr>
              <w:t>093671105</w:t>
            </w:r>
          </w:p>
        </w:tc>
        <w:tc>
          <w:tcPr>
            <w:tcW w:w="7820" w:type="dxa"/>
            <w:vAlign w:val="bottom"/>
          </w:tcPr>
          <w:p>
            <w:pPr>
              <w:spacing w:after="0"/>
              <w:rPr>
                <w:sz w:val="24"/>
                <w:szCs w:val="24"/>
                <w:color w:val="auto"/>
              </w:rPr>
            </w:pPr>
          </w:p>
        </w:tc>
      </w:tr>
      <w:tr>
        <w:trPr>
          <w:trHeight w:val="455"/>
        </w:trPr>
        <w:tc>
          <w:tcPr>
            <w:tcW w:w="126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9680" w:type="dxa"/>
            <w:vAlign w:val="bottom"/>
            <w:gridSpan w:val="3"/>
          </w:tcPr>
          <w:p>
            <w:pPr>
              <w:ind w:left="320"/>
              <w:spacing w:after="0"/>
              <w:rPr>
                <w:sz w:val="20"/>
                <w:szCs w:val="20"/>
                <w:color w:val="auto"/>
              </w:rPr>
            </w:pPr>
            <w:r>
              <w:rPr>
                <w:rFonts w:ascii="Arial" w:cs="Arial" w:eastAsia="Arial" w:hAnsi="Arial"/>
                <w:sz w:val="22"/>
                <w:szCs w:val="22"/>
                <w:color w:val="auto"/>
                <w:w w:val="90"/>
              </w:rPr>
              <w:t>If this statement is filed pursuant to §§ 240.13d-1(b) or 240.13d-2(b) or (c), check whether the person filing</w:t>
            </w:r>
          </w:p>
        </w:tc>
      </w:tr>
      <w:tr>
        <w:trPr>
          <w:trHeight w:val="274"/>
        </w:trPr>
        <w:tc>
          <w:tcPr>
            <w:tcW w:w="1260" w:type="dxa"/>
            <w:vAlign w:val="bottom"/>
          </w:tcPr>
          <w:p>
            <w:pPr>
              <w:spacing w:after="0"/>
              <w:rPr>
                <w:sz w:val="23"/>
                <w:szCs w:val="23"/>
                <w:color w:val="auto"/>
              </w:rPr>
            </w:pPr>
          </w:p>
        </w:tc>
        <w:tc>
          <w:tcPr>
            <w:tcW w:w="900" w:type="dxa"/>
            <w:vAlign w:val="bottom"/>
          </w:tcPr>
          <w:p>
            <w:pPr>
              <w:ind w:left="320"/>
              <w:spacing w:after="0"/>
              <w:rPr>
                <w:sz w:val="20"/>
                <w:szCs w:val="20"/>
                <w:color w:val="auto"/>
              </w:rPr>
            </w:pPr>
            <w:r>
              <w:rPr>
                <w:rFonts w:ascii="Arial" w:cs="Arial" w:eastAsia="Arial" w:hAnsi="Arial"/>
                <w:sz w:val="22"/>
                <w:szCs w:val="22"/>
                <w:color w:val="auto"/>
              </w:rPr>
              <w:t>is a:</w:t>
            </w:r>
          </w:p>
        </w:tc>
        <w:tc>
          <w:tcPr>
            <w:tcW w:w="96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594"/>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(a)</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rPr>
              <w:t>Broker or dealer registered under Section 15 of the Act;</w:t>
            </w:r>
          </w:p>
        </w:tc>
      </w:tr>
      <w:tr>
        <w:trPr>
          <w:trHeight w:val="351"/>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(b)</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rPr>
              <w:t>Bank as defined in Section 3(a)(6) of the Act;</w:t>
            </w:r>
          </w:p>
        </w:tc>
      </w:tr>
      <w:tr>
        <w:trPr>
          <w:trHeight w:val="351"/>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(c)</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rPr>
              <w:t>Insurance company as defined in Section 3(a)(19) of the Act;</w:t>
            </w:r>
          </w:p>
        </w:tc>
      </w:tr>
      <w:tr>
        <w:trPr>
          <w:trHeight w:val="351"/>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(d)</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w w:val="89"/>
              </w:rPr>
              <w:t>Investment company registered under Section 8 of the Investment Company Act of 1940;</w:t>
            </w:r>
          </w:p>
        </w:tc>
      </w:tr>
      <w:tr>
        <w:trPr>
          <w:trHeight w:val="351"/>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(e)</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rPr>
              <w:t>An investment adviser in accordance with Rule 13d-1(b)(1)(ii)(E);</w:t>
            </w:r>
          </w:p>
        </w:tc>
      </w:tr>
      <w:tr>
        <w:trPr>
          <w:trHeight w:val="351"/>
        </w:trPr>
        <w:tc>
          <w:tcPr>
            <w:tcW w:w="12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22"/>
                <w:szCs w:val="22"/>
                <w:color w:val="auto"/>
              </w:rPr>
              <w:t>(f)</w:t>
            </w:r>
          </w:p>
        </w:tc>
        <w:tc>
          <w:tcPr>
            <w:tcW w:w="960" w:type="dxa"/>
            <w:vAlign w:val="bottom"/>
          </w:tcPr>
          <w:p>
            <w:pPr>
              <w:jc w:val="right"/>
              <w:ind w:right="392"/>
              <w:spacing w:after="0"/>
              <w:rPr>
                <w:sz w:val="20"/>
                <w:szCs w:val="20"/>
                <w:color w:val="auto"/>
              </w:rPr>
            </w:pPr>
            <w:r>
              <w:rPr>
                <w:rFonts w:ascii="Arial" w:cs="Arial" w:eastAsia="Arial" w:hAnsi="Arial"/>
                <w:sz w:val="22"/>
                <w:szCs w:val="22"/>
                <w:color w:val="auto"/>
              </w:rPr>
              <w:t>[_]</w:t>
            </w:r>
          </w:p>
        </w:tc>
        <w:tc>
          <w:tcPr>
            <w:tcW w:w="7820" w:type="dxa"/>
            <w:vAlign w:val="bottom"/>
          </w:tcPr>
          <w:p>
            <w:pPr>
              <w:ind w:left="40"/>
              <w:spacing w:after="0"/>
              <w:rPr>
                <w:sz w:val="20"/>
                <w:szCs w:val="20"/>
                <w:color w:val="auto"/>
              </w:rPr>
            </w:pPr>
            <w:r>
              <w:rPr>
                <w:rFonts w:ascii="Arial" w:cs="Arial" w:eastAsia="Arial" w:hAnsi="Arial"/>
                <w:sz w:val="22"/>
                <w:szCs w:val="22"/>
                <w:color w:val="auto"/>
                <w:w w:val="90"/>
              </w:rPr>
              <w:t>An employee benefit plan or endowment fund in accordance with Rule 13d-1(b)(1)(ii)(F);</w:t>
            </w:r>
          </w:p>
        </w:tc>
      </w:tr>
    </w:tbl>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480" w:hanging="789"/>
        <w:spacing w:after="0"/>
        <w:tabs>
          <w:tab w:leader="none" w:pos="2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98" w:lineRule="exact"/>
        <w:rPr>
          <w:rFonts w:ascii="Arial" w:cs="Arial" w:eastAsia="Arial" w:hAnsi="Arial"/>
          <w:sz w:val="22"/>
          <w:szCs w:val="22"/>
          <w:color w:val="auto"/>
        </w:rPr>
      </w:pPr>
    </w:p>
    <w:p>
      <w:pPr>
        <w:ind w:left="3260" w:right="180" w:hanging="1569"/>
        <w:spacing w:after="0" w:line="250" w:lineRule="auto"/>
        <w:tabs>
          <w:tab w:leader="none" w:pos="2477" w:val="left"/>
        </w:tabs>
        <w:numPr>
          <w:ilvl w:val="0"/>
          <w:numId w:val="2"/>
        </w:numPr>
        <w:rPr>
          <w:rFonts w:ascii="Arial" w:cs="Arial" w:eastAsia="Arial" w:hAnsi="Arial"/>
          <w:sz w:val="22"/>
          <w:szCs w:val="22"/>
          <w:color w:val="auto"/>
        </w:rPr>
      </w:pPr>
      <w:r>
        <w:rPr>
          <w:rFonts w:ascii="Arial" w:cs="Arial" w:eastAsia="Arial" w:hAnsi="Arial"/>
          <w:sz w:val="22"/>
          <w:szCs w:val="22"/>
          <w:color w:val="auto"/>
        </w:rPr>
        <w:t>[_]A savings associations as defined in Section 3(b) of the Federal Deposit Insurance Act (12 U.S.C. 1813);</w:t>
      </w:r>
    </w:p>
    <w:p>
      <w:pPr>
        <w:spacing w:after="0" w:line="66" w:lineRule="exact"/>
        <w:rPr>
          <w:rFonts w:ascii="Arial" w:cs="Arial" w:eastAsia="Arial" w:hAnsi="Arial"/>
          <w:sz w:val="22"/>
          <w:szCs w:val="22"/>
          <w:color w:val="auto"/>
        </w:rPr>
      </w:pPr>
    </w:p>
    <w:p>
      <w:pPr>
        <w:ind w:left="3260" w:right="120" w:hanging="1569"/>
        <w:spacing w:after="0" w:line="250" w:lineRule="auto"/>
        <w:tabs>
          <w:tab w:leader="none" w:pos="2477" w:val="left"/>
        </w:tabs>
        <w:numPr>
          <w:ilvl w:val="0"/>
          <w:numId w:val="2"/>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66" w:lineRule="exact"/>
        <w:rPr>
          <w:rFonts w:ascii="Arial" w:cs="Arial" w:eastAsia="Arial" w:hAnsi="Arial"/>
          <w:sz w:val="22"/>
          <w:szCs w:val="22"/>
          <w:color w:val="auto"/>
        </w:rPr>
      </w:pPr>
    </w:p>
    <w:p>
      <w:pPr>
        <w:ind w:left="2480" w:hanging="789"/>
        <w:spacing w:after="0"/>
        <w:tabs>
          <w:tab w:leader="none" w:pos="2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98" w:lineRule="exact"/>
        <w:rPr>
          <w:rFonts w:ascii="Arial" w:cs="Arial" w:eastAsia="Arial" w:hAnsi="Arial"/>
          <w:sz w:val="22"/>
          <w:szCs w:val="22"/>
          <w:color w:val="auto"/>
        </w:rPr>
      </w:pPr>
    </w:p>
    <w:p>
      <w:pPr>
        <w:ind w:left="3260" w:right="180" w:hanging="1569"/>
        <w:spacing w:after="0" w:line="328" w:lineRule="auto"/>
        <w:tabs>
          <w:tab w:leader="none" w:pos="2477" w:val="left"/>
        </w:tabs>
        <w:numPr>
          <w:ilvl w:val="0"/>
          <w:numId w:val="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 If filing as a non-U.S. institution in accordance with Rule 240.13d-1(b)(1)(ii)(J), please specify the type of institution: ____</w:t>
      </w:r>
    </w:p>
    <w:p>
      <w:pPr>
        <w:spacing w:after="0" w:line="126"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OWNERSHIP:</w:t>
      </w:r>
    </w:p>
    <w:p>
      <w:pPr>
        <w:spacing w:after="0" w:line="239"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Jupiter Asset Management Ltd</w:t>
      </w:r>
    </w:p>
    <w:p>
      <w:pPr>
        <w:spacing w:after="0" w:line="233" w:lineRule="exact"/>
        <w:rPr>
          <w:sz w:val="20"/>
          <w:szCs w:val="20"/>
          <w:color w:val="auto"/>
        </w:rPr>
      </w:pPr>
    </w:p>
    <w:p>
      <w:pPr>
        <w:ind w:left="2480" w:hanging="795"/>
        <w:spacing w:after="0"/>
        <w:tabs>
          <w:tab w:leader="none" w:pos="2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233" w:lineRule="exact"/>
        <w:rPr>
          <w:rFonts w:ascii="Arial" w:cs="Arial" w:eastAsia="Arial" w:hAnsi="Arial"/>
          <w:sz w:val="22"/>
          <w:szCs w:val="22"/>
          <w:color w:val="auto"/>
        </w:rPr>
      </w:pPr>
    </w:p>
    <w:p>
      <w:pPr>
        <w:ind w:left="2480"/>
        <w:spacing w:after="0"/>
        <w:rPr>
          <w:rFonts w:ascii="Arial" w:cs="Arial" w:eastAsia="Arial" w:hAnsi="Arial"/>
          <w:sz w:val="22"/>
          <w:szCs w:val="22"/>
          <w:color w:val="auto"/>
        </w:rPr>
      </w:pPr>
      <w:r>
        <w:rPr>
          <w:rFonts w:ascii="Arial" w:cs="Arial" w:eastAsia="Arial" w:hAnsi="Arial"/>
          <w:sz w:val="22"/>
          <w:szCs w:val="22"/>
          <w:color w:val="auto"/>
        </w:rPr>
        <w:t>1,060,000 shares of Common Stock</w:t>
      </w:r>
    </w:p>
    <w:p>
      <w:pPr>
        <w:spacing w:after="0" w:line="233" w:lineRule="exact"/>
        <w:rPr>
          <w:rFonts w:ascii="Arial" w:cs="Arial" w:eastAsia="Arial" w:hAnsi="Arial"/>
          <w:sz w:val="22"/>
          <w:szCs w:val="22"/>
          <w:color w:val="auto"/>
        </w:rPr>
      </w:pPr>
    </w:p>
    <w:p>
      <w:pPr>
        <w:ind w:left="2480" w:right="360" w:hanging="795"/>
        <w:spacing w:after="0" w:line="287" w:lineRule="auto"/>
        <w:tabs>
          <w:tab w:leader="none" w:pos="2480" w:val="left"/>
        </w:tabs>
        <w:numPr>
          <w:ilvl w:val="0"/>
          <w:numId w:val="3"/>
        </w:numPr>
        <w:rPr>
          <w:rFonts w:ascii="Arial" w:cs="Arial" w:eastAsia="Arial" w:hAnsi="Arial"/>
          <w:sz w:val="19"/>
          <w:szCs w:val="19"/>
          <w:color w:val="auto"/>
        </w:rPr>
      </w:pPr>
      <w:r>
        <w:rPr>
          <w:rFonts w:ascii="Arial" w:cs="Arial" w:eastAsia="Arial" w:hAnsi="Arial"/>
          <w:sz w:val="19"/>
          <w:szCs w:val="19"/>
          <w:color w:val="auto"/>
        </w:rPr>
        <w:t>Percent of Class: 0.68% The percentages set forth in this Item 4 and in the rest of this Schedule 13G/A are based upon a total of 155,468,155 shares of Common Stock outstanding as of October 31, 2022 as reported by the Issuer in its Form 10-Q for the quarterly period ended September 30, 2022 filed with the Securities and Exchange Commission on November 3, 2022.</w:t>
      </w:r>
    </w:p>
    <w:p>
      <w:pPr>
        <w:spacing w:after="0" w:line="169" w:lineRule="exact"/>
        <w:rPr>
          <w:rFonts w:ascii="Arial" w:cs="Arial" w:eastAsia="Arial" w:hAnsi="Arial"/>
          <w:sz w:val="19"/>
          <w:szCs w:val="19"/>
          <w:color w:val="auto"/>
        </w:rPr>
      </w:pPr>
    </w:p>
    <w:p>
      <w:pPr>
        <w:ind w:left="2480" w:hanging="795"/>
        <w:spacing w:after="0"/>
        <w:tabs>
          <w:tab w:leader="none" w:pos="2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3140" w:right="4660" w:hanging="659"/>
        <w:spacing w:after="0" w:line="461" w:lineRule="auto"/>
        <w:tabs>
          <w:tab w:leader="none" w:pos="31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140" w:hanging="659"/>
        <w:spacing w:after="0"/>
        <w:tabs>
          <w:tab w:leader="none" w:pos="31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33" w:lineRule="exact"/>
        <w:rPr>
          <w:rFonts w:ascii="Arial" w:cs="Arial" w:eastAsia="Arial" w:hAnsi="Arial"/>
          <w:sz w:val="22"/>
          <w:szCs w:val="22"/>
          <w:color w:val="auto"/>
        </w:rPr>
      </w:pPr>
    </w:p>
    <w:p>
      <w:pPr>
        <w:ind w:left="3140"/>
        <w:spacing w:after="0"/>
        <w:rPr>
          <w:rFonts w:ascii="Arial" w:cs="Arial" w:eastAsia="Arial" w:hAnsi="Arial"/>
          <w:sz w:val="22"/>
          <w:szCs w:val="22"/>
          <w:color w:val="auto"/>
        </w:rPr>
      </w:pPr>
      <w:r>
        <w:rPr>
          <w:rFonts w:ascii="Arial" w:cs="Arial" w:eastAsia="Arial" w:hAnsi="Arial"/>
          <w:sz w:val="22"/>
          <w:szCs w:val="22"/>
          <w:color w:val="auto"/>
        </w:rPr>
        <w:t>1,060,000 shares of Common Stock</w:t>
      </w:r>
    </w:p>
    <w:p>
      <w:pPr>
        <w:spacing w:after="0" w:line="233" w:lineRule="exact"/>
        <w:rPr>
          <w:rFonts w:ascii="Arial" w:cs="Arial" w:eastAsia="Arial" w:hAnsi="Arial"/>
          <w:sz w:val="22"/>
          <w:szCs w:val="22"/>
          <w:color w:val="auto"/>
        </w:rPr>
      </w:pPr>
    </w:p>
    <w:p>
      <w:pPr>
        <w:ind w:left="3140" w:right="3580" w:hanging="659"/>
        <w:spacing w:after="0" w:line="461" w:lineRule="auto"/>
        <w:tabs>
          <w:tab w:leader="none" w:pos="31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3140" w:hanging="659"/>
        <w:spacing w:after="0"/>
        <w:tabs>
          <w:tab w:leader="none" w:pos="31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33" w:lineRule="exact"/>
        <w:rPr>
          <w:rFonts w:ascii="Arial" w:cs="Arial" w:eastAsia="Arial" w:hAnsi="Arial"/>
          <w:sz w:val="22"/>
          <w:szCs w:val="22"/>
          <w:color w:val="auto"/>
        </w:rPr>
      </w:pPr>
    </w:p>
    <w:p>
      <w:pPr>
        <w:ind w:left="3140"/>
        <w:spacing w:after="0"/>
        <w:rPr>
          <w:rFonts w:ascii="Arial" w:cs="Arial" w:eastAsia="Arial" w:hAnsi="Arial"/>
          <w:sz w:val="22"/>
          <w:szCs w:val="22"/>
          <w:color w:val="auto"/>
        </w:rPr>
      </w:pPr>
      <w:r>
        <w:rPr>
          <w:rFonts w:ascii="Arial" w:cs="Arial" w:eastAsia="Arial" w:hAnsi="Arial"/>
          <w:sz w:val="22"/>
          <w:szCs w:val="22"/>
          <w:color w:val="auto"/>
        </w:rPr>
        <w:t>1,060,000 shares of Common Stock</w:t>
      </w:r>
    </w:p>
    <w:p>
      <w:pPr>
        <w:spacing w:after="0" w:line="233" w:lineRule="exact"/>
        <w:rPr>
          <w:rFonts w:ascii="Arial" w:cs="Arial" w:eastAsia="Arial" w:hAnsi="Arial"/>
          <w:sz w:val="22"/>
          <w:szCs w:val="22"/>
          <w:color w:val="auto"/>
        </w:rPr>
      </w:pPr>
    </w:p>
    <w:p>
      <w:pPr>
        <w:ind w:left="3140" w:right="200"/>
        <w:spacing w:after="0" w:line="246" w:lineRule="auto"/>
        <w:rPr>
          <w:rFonts w:ascii="Arial" w:cs="Arial" w:eastAsia="Arial" w:hAnsi="Arial"/>
          <w:sz w:val="22"/>
          <w:szCs w:val="22"/>
          <w:color w:val="auto"/>
        </w:rPr>
      </w:pPr>
      <w:r>
        <w:rPr>
          <w:rFonts w:ascii="Arial" w:cs="Arial" w:eastAsia="Arial" w:hAnsi="Arial"/>
          <w:sz w:val="21"/>
          <w:szCs w:val="21"/>
          <w:color w:val="auto"/>
        </w:rPr>
        <w:t>Jupiter Asset Management Ltd provides investment advisory and management services and has acquired the securities of the issuer solely for investment purposes on behalf of client accounts over which it has investment discretion. The securities of the Issuer are held in such accounts for the economic benefit of the beneficiaries of those accounts. This statement should not be construed as an admission that Jupiter Asset Management Ltd is, for the purposes of Section 13(d) or 13(g) of the Exchange Act, a beneficial owner of any securities covered by this statement.</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OWNERSHIP OF FIVE PERCENT OR LESS OF A CLASS:</w:t>
      </w:r>
    </w:p>
    <w:p>
      <w:pPr>
        <w:spacing w:after="0" w:line="239" w:lineRule="exact"/>
        <w:rPr>
          <w:sz w:val="20"/>
          <w:szCs w:val="20"/>
          <w:color w:val="auto"/>
        </w:rPr>
      </w:pPr>
    </w:p>
    <w:p>
      <w:pPr>
        <w:ind w:left="1680" w:right="320"/>
        <w:spacing w:after="0" w:line="328"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X ].</w:t>
      </w:r>
    </w:p>
    <w:p>
      <w:pPr>
        <w:spacing w:after="0" w:line="126"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OWNERSHIP OF MORE THAN FIVE PERCENT ON BEHALF OF ANOTHER PERSON:</w:t>
      </w:r>
    </w:p>
    <w:p>
      <w:pPr>
        <w:spacing w:after="0" w:line="239"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See Item 4.</w:t>
      </w:r>
    </w:p>
    <w:p>
      <w:pPr>
        <w:spacing w:after="0" w:line="227" w:lineRule="exact"/>
        <w:rPr>
          <w:sz w:val="20"/>
          <w:szCs w:val="20"/>
          <w:color w:val="auto"/>
        </w:rPr>
      </w:pPr>
    </w:p>
    <w:p>
      <w:pPr>
        <w:jc w:val="both"/>
        <w:ind w:left="1680" w:right="480" w:hanging="1579"/>
        <w:spacing w:after="0" w:line="243" w:lineRule="auto"/>
        <w:tabs>
          <w:tab w:leader="none" w:pos="16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10"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N/A</w:t>
      </w:r>
    </w:p>
    <w:p>
      <w:pPr>
        <w:spacing w:after="0" w:line="227"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color w:val="auto"/>
        </w:rPr>
        <w:t>IDENTIFICATION AND CLASSIFICATION OF MEMBERS OF THE GROUP:</w:t>
      </w:r>
    </w:p>
    <w:p>
      <w:pPr>
        <w:spacing w:after="0" w:line="239"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N/A</w:t>
      </w:r>
    </w:p>
    <w:p>
      <w:pPr>
        <w:spacing w:after="0" w:line="227"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1"/>
          <w:szCs w:val="21"/>
          <w:b w:val="1"/>
          <w:bCs w:val="1"/>
          <w:color w:val="auto"/>
        </w:rPr>
        <w:t>NOTICE OF DISSOLUTION OF GROUP:</w:t>
      </w:r>
    </w:p>
    <w:p>
      <w:pPr>
        <w:spacing w:after="0" w:line="239" w:lineRule="exact"/>
        <w:rPr>
          <w:sz w:val="20"/>
          <w:szCs w:val="20"/>
          <w:color w:val="auto"/>
        </w:rPr>
      </w:pPr>
    </w:p>
    <w:p>
      <w:pPr>
        <w:jc w:val="center"/>
        <w:ind w:right="7500"/>
        <w:spacing w:after="0"/>
        <w:rPr>
          <w:sz w:val="20"/>
          <w:szCs w:val="20"/>
          <w:color w:val="auto"/>
        </w:rPr>
      </w:pPr>
      <w:r>
        <w:rPr>
          <w:rFonts w:ascii="Arial" w:cs="Arial" w:eastAsia="Arial" w:hAnsi="Arial"/>
          <w:sz w:val="22"/>
          <w:szCs w:val="22"/>
          <w:color w:val="auto"/>
        </w:rPr>
        <w:t>N/A</w:t>
      </w:r>
    </w:p>
    <w:p>
      <w:pPr>
        <w:spacing w:after="0" w:line="227"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color w:val="auto"/>
        </w:rPr>
        <w:t>CERTIFICATIONS:</w:t>
      </w:r>
    </w:p>
    <w:p>
      <w:pPr>
        <w:spacing w:after="0" w:line="239"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The Reporting Person hereby makes the following certification:</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57" w:lineRule="exact"/>
        <w:rPr>
          <w:sz w:val="20"/>
          <w:szCs w:val="20"/>
          <w:color w:val="auto"/>
        </w:rPr>
      </w:pPr>
    </w:p>
    <w:p>
      <w:pPr>
        <w:ind w:left="1680" w:right="360"/>
        <w:spacing w:after="0" w:line="249" w:lineRule="auto"/>
        <w:rPr>
          <w:sz w:val="20"/>
          <w:szCs w:val="20"/>
          <w:color w:val="auto"/>
        </w:rPr>
      </w:pPr>
      <w:r>
        <w:rPr>
          <w:rFonts w:ascii="Arial" w:cs="Arial" w:eastAsia="Arial" w:hAnsi="Arial"/>
          <w:sz w:val="21"/>
          <w:szCs w:val="21"/>
          <w:color w:val="auto"/>
        </w:rPr>
        <w:t>By signing below the Reporting Person certifies that, to the best of her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4840" w:val="left"/>
          <w:tab w:leader="none" w:pos="9900" w:val="left"/>
        </w:tabs>
        <w:rPr>
          <w:sz w:val="20"/>
          <w:szCs w:val="20"/>
          <w:color w:val="auto"/>
        </w:rPr>
      </w:pPr>
      <w:r>
        <w:rPr>
          <w:rFonts w:ascii="Arial" w:cs="Arial" w:eastAsia="Arial" w:hAnsi="Arial"/>
          <w:sz w:val="18"/>
          <w:szCs w:val="18"/>
          <w:b w:val="1"/>
          <w:bCs w:val="1"/>
          <w:color w:val="auto"/>
        </w:rPr>
        <w:t>CUSIP No. 093671105</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Page 7 of 7 Pages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JUPITER ASSET MANAGEMENT LTD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Katie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92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Katie Carter</w:t>
      </w:r>
    </w:p>
    <w:p>
      <w:pPr>
        <w:spacing w:after="0"/>
        <w:rPr>
          <w:sz w:val="20"/>
          <w:szCs w:val="20"/>
          <w:color w:val="auto"/>
        </w:rPr>
      </w:pPr>
      <w:r>
        <w:rPr>
          <w:rFonts w:ascii="Arial" w:cs="Arial" w:eastAsia="Arial" w:hAnsi="Arial"/>
          <w:sz w:val="22"/>
          <w:szCs w:val="22"/>
          <w:color w:val="auto"/>
        </w:rPr>
        <w:t>Title: Head of Compliance</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1)"/>
      <w:numFmt w:val="lowerLetter"/>
      <w:start w:val="7"/>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2023-02-10T15:33:14Z</dcterms:created>
  <dcterms:modified xsi:type="dcterms:W3CDTF">2023-02-10T15:33:14Z</dcterms:modified>
</cp:coreProperties>
</file>