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UNITED STATES</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SECURITIES AND EXCHANGE COMMISSION</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WASHINGTON, D.C. 20549</w:t>
      </w:r>
    </w:p>
    <w:p>
      <w:pPr>
        <w:pStyle w:val="TextBody"/>
        <w:bidi w:val="0"/>
        <w:spacing w:lineRule="auto" w:line="288" w:before="0" w:after="240"/>
        <w:jc w:val="center"/>
        <w:rPr>
          <w:rFonts w:ascii="Calibri;sans-serif" w:hAnsi="Calibri;sans-serif"/>
          <w:b/>
          <w:color w:val="000000"/>
          <w:sz w:val="24"/>
        </w:rPr>
      </w:pPr>
      <w:r>
        <w:rPr>
          <w:rFonts w:ascii="Calibri;sans-serif" w:hAnsi="Calibri;sans-serif"/>
          <w:b/>
          <w:color w:val="000000"/>
          <w:sz w:val="24"/>
        </w:rPr>
        <w:t xml:space="preserve">FORM 8-K </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CURRENT REPORT</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Calibri;sans-serif" w:hAnsi="Calibri;sans-serif"/>
          <w:b w:val="false"/>
          <w:color w:val="000000"/>
          <w:sz w:val="24"/>
        </w:rPr>
      </w:pPr>
      <w:r>
        <w:rPr>
          <w:rFonts w:ascii="Calibri;sans-serif" w:hAnsi="Calibri;sans-serif"/>
          <w:b w:val="false"/>
          <w:color w:val="000000"/>
          <w:sz w:val="24"/>
        </w:rPr>
        <w:t xml:space="preserve">Date of Report (date of earliest event reported): May 11, 2023 </w:t>
      </w:r>
    </w:p>
    <w:p>
      <w:pPr>
        <w:pStyle w:val="TextBody"/>
        <w:bidi w:val="0"/>
        <w:spacing w:before="0" w:after="0"/>
        <w:jc w:val="center"/>
        <w:rPr/>
      </w:pPr>
      <w:r>
        <w:rPr/>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 xml:space="preserve">H&amp;R BLOCK, INC. </w:t>
      </w:r>
    </w:p>
    <w:p>
      <w:pPr>
        <w:pStyle w:val="TextBody"/>
        <w:bidi w:val="0"/>
        <w:spacing w:lineRule="auto" w:line="288" w:before="0" w:after="240"/>
        <w:jc w:val="center"/>
        <w:rPr>
          <w:rFonts w:ascii="Calibri;sans-serif" w:hAnsi="Calibri;sans-serif"/>
          <w:b w:val="false"/>
          <w:color w:val="000000"/>
          <w:sz w:val="20"/>
        </w:rPr>
      </w:pPr>
      <w:r>
        <w:rPr>
          <w:rFonts w:ascii="Calibri;sans-serif" w:hAnsi="Calibri;sans-serif"/>
          <w:b w:val="false"/>
          <w:color w:val="000000"/>
          <w:sz w:val="20"/>
        </w:rPr>
        <w:t>(Exact name of registrant as specified in charter)</w:t>
      </w:r>
    </w:p>
    <w:tbl>
      <w:tblPr>
        <w:tblW w:w="6282" w:type="dxa"/>
        <w:jc w:val="left"/>
        <w:tblInd w:w="0" w:type="dxa"/>
        <w:tblLayout w:type="fixed"/>
        <w:tblCellMar>
          <w:top w:w="28" w:type="dxa"/>
          <w:left w:w="28" w:type="dxa"/>
          <w:bottom w:w="28" w:type="dxa"/>
          <w:right w:w="28" w:type="dxa"/>
        </w:tblCellMar>
      </w:tblPr>
      <w:tblGrid>
        <w:gridCol w:w="917"/>
        <w:gridCol w:w="806"/>
        <w:gridCol w:w="811"/>
        <w:gridCol w:w="727"/>
        <w:gridCol w:w="727"/>
        <w:gridCol w:w="735"/>
        <w:gridCol w:w="455"/>
        <w:gridCol w:w="455"/>
        <w:gridCol w:w="649"/>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Missouri</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1-06089</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44-0607856</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(State or other jurisdiction of</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(Commission File Number)</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(I.R.S. Employer</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incorporation or organization)</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Identification No.)</w:t>
            </w:r>
          </w:p>
        </w:tc>
      </w:tr>
    </w:tbl>
    <w:p>
      <w:pPr>
        <w:pStyle w:val="TextBody"/>
        <w:bidi w:val="0"/>
        <w:spacing w:before="0" w:after="240"/>
        <w:jc w:val="center"/>
        <w:rPr/>
      </w:pPr>
      <w:r>
        <w:rPr/>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 xml:space="preserve">One H&amp;R Block Way, Kansas City, MO 64105 </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 xml:space="preserve">(816) 854-3000 </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Not Applicable</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120" w:after="283"/>
        <w:jc w:val="both"/>
        <w:rPr/>
      </w:pPr>
      <w:r>
        <w:rPr>
          <w:color w:val="000000"/>
        </w:rPr>
        <w:t>☐    </w:t>
      </w:r>
      <w:r>
        <w:rPr>
          <w:rFonts w:ascii="Calibri;sans-serif" w:hAnsi="Calibri;sans-serif"/>
          <w:b w:val="false"/>
          <w:color w:val="000000"/>
          <w:sz w:val="20"/>
        </w:rPr>
        <w:t>Written communications pursuant to Rule 425 under the Securities Act (17 CFR 230.425)</w:t>
      </w:r>
    </w:p>
    <w:p>
      <w:pPr>
        <w:pStyle w:val="TextBody"/>
        <w:bidi w:val="0"/>
        <w:spacing w:lineRule="auto" w:line="288" w:before="60" w:after="283"/>
        <w:ind w:left="0" w:right="0" w:hanging="270"/>
        <w:jc w:val="both"/>
        <w:rPr/>
      </w:pPr>
      <w:r>
        <w:rPr>
          <w:color w:val="000000"/>
        </w:rPr>
        <w:t>☐    </w:t>
      </w:r>
      <w:r>
        <w:rPr>
          <w:rFonts w:ascii="Calibri;sans-serif" w:hAnsi="Calibri;sans-serif"/>
          <w:b w:val="false"/>
          <w:color w:val="000000"/>
          <w:sz w:val="20"/>
        </w:rPr>
        <w:t>Soliciting material pursuant to Rule 14a-12 under the Exchange Act (17 CFR 240.14a-12)</w:t>
      </w:r>
    </w:p>
    <w:p>
      <w:pPr>
        <w:pStyle w:val="TextBody"/>
        <w:bidi w:val="0"/>
        <w:spacing w:lineRule="auto" w:line="288" w:before="60" w:after="283"/>
        <w:ind w:left="0" w:right="0" w:hanging="270"/>
        <w:jc w:val="both"/>
        <w:rPr/>
      </w:pPr>
      <w:r>
        <w:rPr>
          <w:color w:val="000000"/>
        </w:rPr>
        <w:t>☐    </w:t>
      </w:r>
      <w:r>
        <w:rPr>
          <w:rFonts w:ascii="Calibri;sans-serif" w:hAnsi="Calibri;sans-serif"/>
          <w:b w:val="false"/>
          <w:color w:val="000000"/>
          <w:sz w:val="20"/>
        </w:rPr>
        <w:t>Pre-commencement communications pursuant to Rule 14d-2(b) under the Exchange Act (17 CFR 240.14d-2(b))</w:t>
      </w:r>
    </w:p>
    <w:p>
      <w:pPr>
        <w:pStyle w:val="TextBody"/>
        <w:bidi w:val="0"/>
        <w:spacing w:lineRule="auto" w:line="288" w:before="60" w:after="283"/>
        <w:ind w:left="0" w:right="0" w:hanging="270"/>
        <w:jc w:val="both"/>
        <w:rPr/>
      </w:pPr>
      <w:r>
        <w:rPr>
          <w:color w:val="000000"/>
        </w:rPr>
        <w:t>☐    </w:t>
      </w:r>
      <w:r>
        <w:rPr>
          <w:rFonts w:ascii="Calibri;sans-serif" w:hAnsi="Calibri;sans-serif"/>
          <w:b w:val="false"/>
          <w:color w:val="000000"/>
          <w:sz w:val="20"/>
        </w:rPr>
        <w:t>Pre-commencement communications pursuant to Rule 13e-4(c) under the Exchange Act (17 CFR 240.13e-4(c))</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tbl>
      <w:tblPr>
        <w:tblW w:w="7918" w:type="dxa"/>
        <w:jc w:val="center"/>
        <w:tblInd w:w="0" w:type="dxa"/>
        <w:tblLayout w:type="fixed"/>
        <w:tblCellMar>
          <w:top w:w="28" w:type="dxa"/>
          <w:left w:w="28" w:type="dxa"/>
          <w:bottom w:w="28" w:type="dxa"/>
          <w:right w:w="28" w:type="dxa"/>
        </w:tblCellMar>
      </w:tblPr>
      <w:tblGrid>
        <w:gridCol w:w="1010"/>
        <w:gridCol w:w="887"/>
        <w:gridCol w:w="892"/>
        <w:gridCol w:w="509"/>
        <w:gridCol w:w="509"/>
        <w:gridCol w:w="511"/>
        <w:gridCol w:w="1054"/>
        <w:gridCol w:w="1054"/>
        <w:gridCol w:w="1492"/>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Title of each class</w:t>
            </w:r>
          </w:p>
        </w:tc>
        <w:tc>
          <w:tcPr>
            <w:tcW w:w="1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Trading Symbol(s)</w:t>
            </w:r>
          </w:p>
        </w:tc>
        <w:tc>
          <w:tcPr>
            <w:tcW w:w="36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Name of each exchange on which registered</w:t>
            </w:r>
          </w:p>
        </w:tc>
      </w:tr>
      <w:tr>
        <w:trPr/>
        <w:tc>
          <w:tcPr>
            <w:tcW w:w="27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Common Stock, without par value</w:t>
            </w:r>
          </w:p>
        </w:tc>
        <w:tc>
          <w:tcPr>
            <w:tcW w:w="15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HRB</w:t>
            </w:r>
          </w:p>
        </w:tc>
        <w:tc>
          <w:tcPr>
            <w:tcW w:w="360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New York Stock Exchange</w:t>
            </w:r>
          </w:p>
        </w:tc>
      </w:tr>
    </w:tbl>
    <w:p>
      <w:pPr>
        <w:pStyle w:val="TextBody"/>
        <w:bidi w:val="0"/>
        <w:spacing w:lineRule="auto" w:line="288" w:before="120" w:after="283"/>
        <w:jc w:val="both"/>
        <w:rPr/>
      </w:pPr>
      <w:r>
        <w:rPr>
          <w:rFonts w:ascii="Calibri;sans-serif" w:hAnsi="Calibri;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288" w:before="120" w:after="283"/>
        <w:jc w:val="both"/>
        <w:rPr/>
      </w:pPr>
      <w:r>
        <w:rPr>
          <w:rFonts w:ascii="Calibri;sans-serif" w:hAnsi="Calibr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Calibri;sans-serif" w:hAnsi="Calibri;sans-serif"/>
          <w:b/>
          <w:color w:val="000000"/>
          <w:sz w:val="22"/>
        </w:rPr>
      </w:pPr>
      <w:r>
        <w:rPr>
          <w:rFonts w:ascii="Calibri;sans-serif" w:hAnsi="Calibri;sans-serif"/>
          <w:b/>
          <w:color w:val="000000"/>
          <w:sz w:val="22"/>
        </w:rPr>
        <w:t>Item 5.02. Departure of Directors or Certain Officers; Election of Directors; Appointment of Certain Officers; Compensatory Arrangements of Certain Officers.</w:t>
      </w:r>
    </w:p>
    <w:p>
      <w:pPr>
        <w:pStyle w:val="TextBody"/>
        <w:bidi w:val="0"/>
        <w:spacing w:lineRule="auto" w:line="288" w:before="120" w:after="283"/>
        <w:jc w:val="both"/>
        <w:rPr>
          <w:rFonts w:ascii="Calibri;sans-serif" w:hAnsi="Calibri;sans-serif"/>
          <w:b w:val="false"/>
          <w:color w:val="000000"/>
          <w:sz w:val="22"/>
        </w:rPr>
      </w:pPr>
      <w:r>
        <w:rPr>
          <w:rFonts w:ascii="Calibri;sans-serif" w:hAnsi="Calibri;sans-serif"/>
          <w:b w:val="false"/>
          <w:color w:val="000000"/>
          <w:sz w:val="22"/>
        </w:rPr>
        <w:t>H&amp;R Block, Inc. (the “Company”) announced that effective as of May 11, 2023, Karen A. Orosco will no longer serve as the Company’s President, Global Consumer Tax and Service Delivery and will depart the Company as of July 1, 2023.</w:t>
      </w:r>
    </w:p>
    <w:p>
      <w:pPr>
        <w:pStyle w:val="TextBody"/>
        <w:bidi w:val="0"/>
        <w:spacing w:lineRule="auto" w:line="288" w:before="120" w:after="283"/>
        <w:jc w:val="both"/>
        <w:rPr/>
      </w:pPr>
      <w:r>
        <w:rPr>
          <w:rFonts w:ascii="Calibri;sans-serif" w:hAnsi="Calibri;sans-serif"/>
          <w:b w:val="false"/>
          <w:color w:val="000000"/>
          <w:sz w:val="22"/>
        </w:rPr>
        <w:t xml:space="preserve">The circumstances of Ms. Orosco’s departure qualify her for severance benefits under the terms of the H&amp;R Block, Inc. Executive Severance Plan, amended and restated effective May 9, 2022 (the “Plan”), subject to her execution of a Severance and Release Agreement in the form included in the Plan. The Plan is described in the Company’s Definitive Proxy Statement filed on September 22, 2022 and a copy of the Plan is filed as </w:t>
      </w:r>
      <w:hyperlink r:id="rId2">
        <w:r>
          <w:rPr>
            <w:rStyle w:val="InternetLink"/>
            <w:rFonts w:ascii="Calibri;sans-serif" w:hAnsi="Calibri;sans-serif"/>
            <w:b w:val="false"/>
            <w:color w:val="0000FF"/>
            <w:sz w:val="22"/>
            <w:u w:val="single"/>
          </w:rPr>
          <w:t>Exhibit 10.1</w:t>
        </w:r>
      </w:hyperlink>
      <w:r>
        <w:rPr>
          <w:color w:val="000000"/>
        </w:rPr>
        <w:t xml:space="preserve"> </w:t>
      </w:r>
      <w:r>
        <w:rPr>
          <w:rFonts w:ascii="Calibri;sans-serif" w:hAnsi="Calibri;sans-serif"/>
          <w:b w:val="false"/>
          <w:color w:val="000000"/>
          <w:sz w:val="22"/>
        </w:rPr>
        <w:t>to the Company’s quarterly report on Form 10-Q for the fiscal quarter ended March 31, 2022,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Calibri;sans-serif" w:hAnsi="Calibri;sans-serif"/>
          <w:b/>
          <w:color w:val="000000"/>
          <w:sz w:val="24"/>
        </w:rPr>
      </w:pPr>
      <w:r>
        <w:rPr>
          <w:rFonts w:ascii="Calibri;sans-serif" w:hAnsi="Calibri;sans-serif"/>
          <w:b/>
          <w:color w:val="000000"/>
          <w:sz w:val="24"/>
        </w:rPr>
        <w:t>SIGNATURES</w:t>
      </w:r>
    </w:p>
    <w:p>
      <w:pPr>
        <w:pStyle w:val="TextBody"/>
        <w:bidi w:val="0"/>
        <w:spacing w:lineRule="auto" w:line="288" w:before="120" w:after="240"/>
        <w:jc w:val="both"/>
        <w:rPr>
          <w:rFonts w:ascii="Calibri;sans-serif" w:hAnsi="Calibri;sans-serif"/>
          <w:b w:val="false"/>
          <w:color w:val="000000"/>
          <w:sz w:val="24"/>
        </w:rPr>
      </w:pPr>
      <w:r>
        <w:rPr>
          <w:rFonts w:ascii="Calibri;sans-serif" w:hAnsi="Calibri;sans-serif"/>
          <w:b w:val="false"/>
          <w:color w:val="000000"/>
          <w:sz w:val="24"/>
        </w:rPr>
        <w:t>Pursuant to the requirements of the Securities Exchange Act of 1934, the registrant has duly caused this report to be signed on its behalf by the undersigned hereunto duly authorized.</w:t>
      </w:r>
    </w:p>
    <w:tbl>
      <w:tblPr>
        <w:tblW w:w="5443" w:type="dxa"/>
        <w:jc w:val="left"/>
        <w:tblInd w:w="0" w:type="dxa"/>
        <w:tblLayout w:type="fixed"/>
        <w:tblCellMar>
          <w:top w:w="28" w:type="dxa"/>
          <w:left w:w="28" w:type="dxa"/>
          <w:bottom w:w="28" w:type="dxa"/>
          <w:right w:w="28" w:type="dxa"/>
        </w:tblCellMar>
      </w:tblPr>
      <w:tblGrid>
        <w:gridCol w:w="233"/>
        <w:gridCol w:w="205"/>
        <w:gridCol w:w="207"/>
        <w:gridCol w:w="479"/>
        <w:gridCol w:w="479"/>
        <w:gridCol w:w="482"/>
        <w:gridCol w:w="134"/>
        <w:gridCol w:w="134"/>
        <w:gridCol w:w="136"/>
        <w:gridCol w:w="864"/>
        <w:gridCol w:w="864"/>
        <w:gridCol w:w="1226"/>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H&amp;R BLOCK,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Calibri;sans-serif" w:hAnsi="Calibri;sans-serif"/>
                <w:b w:val="false"/>
                <w:color w:val="000000"/>
                <w:sz w:val="24"/>
              </w:rPr>
            </w:pPr>
            <w:r>
              <w:rPr>
                <w:rFonts w:ascii="Calibri;sans-serif" w:hAnsi="Calibri;sans-serif"/>
                <w:b w:val="false"/>
                <w:color w:val="000000"/>
                <w:sz w:val="24"/>
              </w:rPr>
              <w:t>Date:</w:t>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Calibri;sans-serif" w:hAnsi="Calibri;sans-serif"/>
                <w:b w:val="false"/>
                <w:color w:val="000000"/>
                <w:sz w:val="24"/>
              </w:rPr>
            </w:pPr>
            <w:r>
              <w:rPr>
                <w:rFonts w:ascii="Calibri;sans-serif" w:hAnsi="Calibri;sans-serif"/>
                <w:b w:val="false"/>
                <w:color w:val="000000"/>
                <w:sz w:val="24"/>
              </w:rPr>
              <w:t>May 15, 2023</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Calibri;sans-serif" w:hAnsi="Calibri;sans-serif"/>
                <w:b w:val="false"/>
                <w:color w:val="000000"/>
                <w:sz w:val="24"/>
              </w:rPr>
            </w:pPr>
            <w:r>
              <w:rPr>
                <w:rFonts w:ascii="Calibri;sans-serif" w:hAnsi="Calibri;sans-serif"/>
                <w:b w:val="false"/>
                <w:color w:val="000000"/>
                <w:sz w:val="24"/>
              </w:rPr>
              <w:t>By:</w:t>
            </w:r>
          </w:p>
        </w:tc>
        <w:tc>
          <w:tcPr>
            <w:tcW w:w="29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/s/ Katharine M. Haynes</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Katharine M. Haynes</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Vice President and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659/000183886222000016/hrbq3fy22ex101-executivese.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513</Words>
  <Characters>2759</Characters>
  <CharactersWithSpaces>3241</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