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619125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576580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44"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100" w:hanging="694"/>
        <w:spacing w:after="0"/>
        <w:tabs>
          <w:tab w:leader="none" w:pos="1100" w:val="left"/>
        </w:tabs>
        <w:numPr>
          <w:ilvl w:val="0"/>
          <w:numId w:val="1"/>
        </w:numPr>
        <w:rPr>
          <w:rFonts w:ascii="MS PGothic" w:cs="MS PGothic" w:eastAsia="MS PGothic" w:hAnsi="MS PGothic"/>
          <w:sz w:val="15"/>
          <w:szCs w:val="15"/>
          <w:color w:val="auto"/>
        </w:rPr>
      </w:pPr>
      <w:r>
        <w:rPr>
          <w:rFonts w:ascii="Arial" w:cs="Arial" w:eastAsia="Arial" w:hAnsi="Arial"/>
          <w:sz w:val="17"/>
          <w:szCs w:val="17"/>
          <w:color w:val="auto"/>
        </w:rPr>
        <w:t>QUARTERLY REPORT PURSUANT TO SECTION 13 OR 15(d) OF THE SECURITIES EXCHANGE ACT OF 1934</w:t>
      </w:r>
    </w:p>
    <w:p>
      <w:pPr>
        <w:sectPr>
          <w:pgSz w:w="11900" w:h="16838" w:orient="portrait"/>
          <w:cols w:equalWidth="0" w:num="1">
            <w:col w:w="11240"/>
          </w:cols>
          <w:pgMar w:left="320" w:top="249" w:right="339" w:bottom="1440" w:gutter="0" w:footer="0" w:header="0"/>
        </w:sectPr>
      </w:pPr>
    </w:p>
    <w:p>
      <w:pPr>
        <w:spacing w:after="0" w:line="21" w:lineRule="exact"/>
        <w:rPr>
          <w:sz w:val="24"/>
          <w:szCs w:val="24"/>
          <w:color w:val="auto"/>
        </w:rPr>
      </w:pPr>
    </w:p>
    <w:p>
      <w:pPr>
        <w:ind w:left="1100"/>
        <w:spacing w:after="0"/>
        <w:tabs>
          <w:tab w:leader="none" w:pos="428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7"/>
          <w:szCs w:val="17"/>
          <w:b w:val="1"/>
          <w:bCs w:val="1"/>
          <w:color w:val="auto"/>
        </w:rPr>
        <w:t>March 31, 2022</w:t>
      </w:r>
    </w:p>
    <w:p>
      <w:pPr>
        <w:spacing w:after="0" w:line="35" w:lineRule="exact"/>
        <w:rPr>
          <w:sz w:val="24"/>
          <w:szCs w:val="24"/>
          <w:color w:val="auto"/>
        </w:rPr>
      </w:pPr>
    </w:p>
    <w:p>
      <w:pPr>
        <w:ind w:left="5480"/>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240"/>
          </w:cols>
          <w:pgMar w:left="320" w:top="249" w:right="339" w:bottom="1440" w:gutter="0" w:footer="0" w:header="0"/>
          <w:type w:val="continuous"/>
        </w:sectPr>
      </w:pPr>
    </w:p>
    <w:p>
      <w:pPr>
        <w:spacing w:after="0" w:line="23" w:lineRule="exact"/>
        <w:rPr>
          <w:sz w:val="24"/>
          <w:szCs w:val="24"/>
          <w:color w:val="auto"/>
        </w:rPr>
      </w:pPr>
    </w:p>
    <w:p>
      <w:pPr>
        <w:ind w:left="1100" w:hanging="701"/>
        <w:spacing w:after="0"/>
        <w:tabs>
          <w:tab w:leader="none" w:pos="11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34" w:lineRule="exact"/>
        <w:rPr>
          <w:rFonts w:ascii="MS PGothic" w:cs="MS PGothic" w:eastAsia="MS PGothic" w:hAnsi="MS PGothic"/>
          <w:sz w:val="17"/>
          <w:szCs w:val="17"/>
          <w:color w:val="auto"/>
        </w:rPr>
      </w:pPr>
    </w:p>
    <w:p>
      <w:pPr>
        <w:ind w:left="110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For the transition period from to</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1-06089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49" w:right="339" w:bottom="1440" w:gutter="0" w:footer="0" w:header="0"/>
          <w:type w:val="continuous"/>
        </w:sectPr>
      </w:pPr>
    </w:p>
    <w:p>
      <w:pPr>
        <w:spacing w:after="0" w:line="9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44-0607856</w:t>
      </w:r>
    </w:p>
    <w:p>
      <w:pPr>
        <w:spacing w:after="0" w:line="62" w:lineRule="exact"/>
        <w:rPr>
          <w:sz w:val="24"/>
          <w:szCs w:val="24"/>
          <w:color w:val="auto"/>
        </w:rPr>
      </w:pPr>
    </w:p>
    <w:p>
      <w:pPr>
        <w:sectPr>
          <w:pgSz w:w="11900" w:h="16838" w:orient="portrait"/>
          <w:cols w:equalWidth="0" w:num="2">
            <w:col w:w="7280" w:space="720"/>
            <w:col w:w="3240"/>
          </w:cols>
          <w:pgMar w:left="320" w:top="249" w:right="339" w:bottom="1440" w:gutter="0" w:footer="0" w:header="0"/>
          <w:type w:val="continuous"/>
        </w:sectPr>
      </w:pPr>
    </w:p>
    <w:p>
      <w:pPr>
        <w:ind w:left="1900"/>
        <w:spacing w:after="0"/>
        <w:rPr>
          <w:sz w:val="20"/>
          <w:szCs w:val="20"/>
          <w:color w:val="auto"/>
        </w:rPr>
      </w:pPr>
      <w:r>
        <w:rPr>
          <w:rFonts w:ascii="Arial" w:cs="Arial" w:eastAsia="Arial" w:hAnsi="Arial"/>
          <w:sz w:val="14"/>
          <w:szCs w:val="14"/>
          <w:color w:val="auto"/>
        </w:rPr>
        <w:t>(State or other jurisdiction of</w:t>
      </w:r>
    </w:p>
    <w:p>
      <w:pPr>
        <w:spacing w:after="0" w:line="28" w:lineRule="exact"/>
        <w:rPr>
          <w:sz w:val="24"/>
          <w:szCs w:val="24"/>
          <w:color w:val="auto"/>
        </w:rPr>
      </w:pPr>
    </w:p>
    <w:p>
      <w:pPr>
        <w:ind w:left="186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4"/>
          <w:szCs w:val="14"/>
          <w:color w:val="auto"/>
        </w:rPr>
        <w:t>(I.R.S. Employer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35" w:lineRule="exact"/>
        <w:rPr>
          <w:sz w:val="24"/>
          <w:szCs w:val="24"/>
          <w:color w:val="auto"/>
        </w:rPr>
      </w:pPr>
    </w:p>
    <w:p>
      <w:pPr>
        <w:sectPr>
          <w:pgSz w:w="11900" w:h="16838" w:orient="portrait"/>
          <w:cols w:equalWidth="0" w:num="2">
            <w:col w:w="7200" w:space="720"/>
            <w:col w:w="3320"/>
          </w:cols>
          <w:pgMar w:left="320" w:top="24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49" w:right="339" w:bottom="1440" w:gutter="0" w:footer="0" w:header="0"/>
          <w:type w:val="continuous"/>
        </w:sectPr>
      </w:pPr>
    </w:p>
    <w:p>
      <w:pPr>
        <w:spacing w:after="0" w:line="145" w:lineRule="exact"/>
        <w:rPr>
          <w:sz w:val="24"/>
          <w:szCs w:val="24"/>
          <w:color w:val="auto"/>
        </w:rPr>
      </w:pPr>
    </w:p>
    <w:p>
      <w:pPr>
        <w:ind w:left="172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260" w:space="720"/>
            <w:col w:w="1700" w:space="720"/>
            <w:col w:w="3840"/>
          </w:cols>
          <w:pgMar w:left="320" w:top="249" w:right="3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HRB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720" w:space="720"/>
            <w:col w:w="1800" w:space="720"/>
            <w:col w:w="3280"/>
          </w:cols>
          <w:pgMar w:left="320" w:top="249" w:right="339" w:bottom="1440" w:gutter="0" w:footer="0" w:header="0"/>
          <w:type w:val="continuous"/>
        </w:sectPr>
      </w:pPr>
    </w:p>
    <w:p>
      <w:pPr>
        <w:spacing w:after="0" w:line="8" w:lineRule="exact"/>
        <w:rPr>
          <w:sz w:val="24"/>
          <w:szCs w:val="24"/>
          <w:color w:val="auto"/>
        </w:rPr>
      </w:pPr>
    </w:p>
    <w:p>
      <w:pPr>
        <w:jc w:val="both"/>
        <w:spacing w:after="0" w:line="24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p>
      <w:pPr>
        <w:spacing w:after="0" w:line="196" w:lineRule="exact"/>
        <w:tabs>
          <w:tab w:leader="none" w:pos="1920" w:val="left"/>
          <w:tab w:leader="none" w:pos="3440" w:val="left"/>
          <w:tab w:leader="none" w:pos="52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rFonts w:ascii="Arial" w:cs="Arial" w:eastAsia="Arial" w:hAnsi="Arial"/>
          <w:sz w:val="13"/>
          <w:szCs w:val="13"/>
          <w:color w:val="auto"/>
        </w:rPr>
        <w:t xml:space="preserve"> Emerging growth company </w:t>
      </w:r>
      <w:r>
        <w:rPr>
          <w:rFonts w:ascii="MS PGothic" w:cs="MS PGothic" w:eastAsia="MS PGothic" w:hAnsi="MS PGothic"/>
          <w:sz w:val="17"/>
          <w:szCs w:val="17"/>
          <w:color w:val="auto"/>
        </w:rPr>
        <w:t>☐</w:t>
      </w:r>
    </w:p>
    <w:p>
      <w:pPr>
        <w:spacing w:after="0" w:line="285" w:lineRule="exact"/>
        <w:rPr>
          <w:sz w:val="24"/>
          <w:szCs w:val="24"/>
          <w:color w:val="auto"/>
        </w:rPr>
      </w:pPr>
    </w:p>
    <w:p>
      <w:pPr>
        <w:jc w:val="both"/>
        <w:ind w:right="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April 29, 2022: 159,594,159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Form 10-Q for the Period ended March 31, 2022</w:t>
      </w:r>
    </w:p>
    <w:p>
      <w:pPr>
        <w:spacing w:after="0" w:line="112"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Table of Contents</w:t>
      </w:r>
    </w:p>
    <w:p>
      <w:pPr>
        <w:spacing w:after="0" w:line="125" w:lineRule="exact"/>
        <w:rPr>
          <w:sz w:val="20"/>
          <w:szCs w:val="20"/>
          <w:color w:val="auto"/>
        </w:rPr>
      </w:pPr>
    </w:p>
    <w:p>
      <w:pPr>
        <w:ind w:left="5240"/>
        <w:spacing w:after="0"/>
        <w:rPr>
          <w:rFonts w:ascii="Arial" w:cs="Arial" w:eastAsia="Arial" w:hAnsi="Arial"/>
          <w:sz w:val="22"/>
          <w:szCs w:val="22"/>
          <w:b w:val="1"/>
          <w:bCs w:val="1"/>
          <w:color w:val="auto"/>
        </w:rPr>
      </w:pPr>
      <w:hyperlink w:anchor="page2">
        <w:r>
          <w:rPr>
            <w:rFonts w:ascii="Arial" w:cs="Arial" w:eastAsia="Arial" w:hAnsi="Arial"/>
            <w:sz w:val="22"/>
            <w:szCs w:val="22"/>
            <w:b w:val="1"/>
            <w:bCs w:val="1"/>
            <w:color w:val="auto"/>
          </w:rPr>
          <w:t>PART I</w:t>
        </w:r>
      </w:hyperlink>
    </w:p>
    <w:tbl>
      <w:tblPr>
        <w:tblLayout w:type="fixed"/>
        <w:tblInd w:w="0" w:type="dxa"/>
        <w:tblCellMar>
          <w:top w:w="0" w:type="dxa"/>
          <w:left w:w="0" w:type="dxa"/>
          <w:bottom w:w="0" w:type="dxa"/>
          <w:right w:w="0" w:type="dxa"/>
        </w:tblCellMar>
      </w:tblPr>
      <w:tr>
        <w:trPr>
          <w:trHeight w:val="252"/>
        </w:trPr>
        <w:tc>
          <w:tcPr>
            <w:tcW w:w="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spacing w:after="0"/>
              <w:rPr>
                <w:rFonts w:ascii="Arial" w:cs="Arial" w:eastAsia="Arial" w:hAnsi="Arial"/>
                <w:sz w:val="22"/>
                <w:szCs w:val="22"/>
                <w:color w:val="0000FF"/>
              </w:rPr>
            </w:pPr>
            <w:hyperlink w:anchor="page3">
              <w:r>
                <w:rPr>
                  <w:rFonts w:ascii="Arial" w:cs="Arial" w:eastAsia="Arial" w:hAnsi="Arial"/>
                  <w:sz w:val="22"/>
                  <w:szCs w:val="22"/>
                  <w:color w:val="0000FF"/>
                </w:rPr>
                <w:t>Item 1.</w:t>
              </w:r>
            </w:hyperlink>
          </w:p>
        </w:tc>
        <w:tc>
          <w:tcPr>
            <w:tcW w:w="8660" w:type="dxa"/>
            <w:vAlign w:val="bottom"/>
            <w:gridSpan w:val="22"/>
            <w:shd w:val="clear" w:color="auto" w:fill="CCEEFF"/>
          </w:tcPr>
          <w:p>
            <w:pPr>
              <w:ind w:left="160"/>
              <w:spacing w:after="0"/>
              <w:rPr>
                <w:rFonts w:ascii="Arial" w:cs="Arial" w:eastAsia="Arial" w:hAnsi="Arial"/>
                <w:sz w:val="22"/>
                <w:szCs w:val="22"/>
                <w:color w:val="0000FF"/>
              </w:rPr>
            </w:pPr>
            <w:hyperlink w:anchor="page3">
              <w:r>
                <w:rPr>
                  <w:rFonts w:ascii="Arial" w:cs="Arial" w:eastAsia="Arial" w:hAnsi="Arial"/>
                  <w:sz w:val="22"/>
                  <w:szCs w:val="22"/>
                  <w:color w:val="0000FF"/>
                </w:rPr>
                <w:t>Consolidated Statements of Operations and Comprehensive Income</w:t>
              </w:r>
            </w:hyperlink>
          </w:p>
        </w:tc>
        <w:tc>
          <w:tcPr>
            <w:tcW w:w="1120" w:type="dxa"/>
            <w:vAlign w:val="bottom"/>
            <w:tcBorders>
              <w:right w:val="single" w:sz="8" w:color="CCEEFF"/>
            </w:tcBorders>
            <w:gridSpan w:val="2"/>
            <w:shd w:val="clear" w:color="auto" w:fill="CCEEFF"/>
          </w:tcPr>
          <w:p>
            <w:pPr>
              <w:jc w:val="center"/>
              <w:ind w:left="772"/>
              <w:spacing w:after="0"/>
              <w:rPr>
                <w:rFonts w:ascii="Arial" w:cs="Arial" w:eastAsia="Arial" w:hAnsi="Arial"/>
                <w:sz w:val="22"/>
                <w:szCs w:val="22"/>
                <w:color w:val="0000FF"/>
                <w:w w:val="97"/>
              </w:rPr>
            </w:pPr>
            <w:hyperlink w:anchor="page3">
              <w:r>
                <w:rPr>
                  <w:rFonts w:ascii="Arial" w:cs="Arial" w:eastAsia="Arial" w:hAnsi="Arial"/>
                  <w:sz w:val="22"/>
                  <w:szCs w:val="22"/>
                  <w:color w:val="0000FF"/>
                  <w:w w:val="97"/>
                </w:rPr>
                <w:t>1</w:t>
              </w:r>
            </w:hyperlink>
          </w:p>
        </w:tc>
        <w:tc>
          <w:tcPr>
            <w:tcW w:w="480" w:type="dxa"/>
            <w:vAlign w:val="bottom"/>
            <w:shd w:val="clear" w:color="auto" w:fill="CCEEFF"/>
          </w:tcPr>
          <w:p>
            <w:pPr>
              <w:spacing w:after="0"/>
              <w:rPr>
                <w:sz w:val="21"/>
                <w:szCs w:val="2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6380" w:type="dxa"/>
            <w:vAlign w:val="bottom"/>
            <w:tcBorders>
              <w:top w:val="single" w:sz="8" w:color="0000FF"/>
            </w:tcBorders>
            <w:gridSpan w:val="19"/>
            <w:shd w:val="clear" w:color="auto" w:fill="CCEEFF"/>
          </w:tcPr>
          <w:p>
            <w:pPr>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Three and nine months ended March 31, 2022 and 2021</w:t>
              </w:r>
            </w:hyperlink>
          </w:p>
        </w:tc>
        <w:tc>
          <w:tcPr>
            <w:tcW w:w="19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0000FF"/>
              <w:right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gridSpan w:val="22"/>
          </w:tcPr>
          <w:p>
            <w:pPr>
              <w:ind w:left="160"/>
              <w:spacing w:after="0" w:line="216" w:lineRule="exact"/>
              <w:rPr>
                <w:rFonts w:ascii="Arial" w:cs="Arial" w:eastAsia="Arial" w:hAnsi="Arial"/>
                <w:sz w:val="22"/>
                <w:szCs w:val="22"/>
                <w:color w:val="0000FF"/>
              </w:rPr>
            </w:pPr>
            <w:hyperlink w:anchor="page3">
              <w:r>
                <w:rPr>
                  <w:rFonts w:ascii="Arial" w:cs="Arial" w:eastAsia="Arial" w:hAnsi="Arial"/>
                  <w:sz w:val="22"/>
                  <w:szCs w:val="22"/>
                  <w:color w:val="0000FF"/>
                </w:rPr>
                <w:t>Consolidated Balance Sheets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3">
              <w:r>
                <w:rPr>
                  <w:rFonts w:ascii="Arial" w:cs="Arial" w:eastAsia="Arial" w:hAnsi="Arial"/>
                  <w:sz w:val="22"/>
                  <w:szCs w:val="22"/>
                  <w:color w:val="0000FF"/>
                  <w:w w:val="97"/>
                </w:rPr>
                <w:t>2</w:t>
              </w:r>
            </w:hyperlink>
          </w:p>
        </w:tc>
        <w:tc>
          <w:tcPr>
            <w:tcW w:w="4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gridSpan w:val="9"/>
          </w:tcPr>
          <w:p>
            <w:pPr>
              <w:ind w:left="60"/>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As of March 31, 2022 and</w:t>
              </w:r>
            </w:hyperlink>
          </w:p>
        </w:tc>
        <w:tc>
          <w:tcPr>
            <w:tcW w:w="5660" w:type="dxa"/>
            <w:vAlign w:val="bottom"/>
            <w:gridSpan w:val="10"/>
          </w:tcPr>
          <w:p>
            <w:pPr>
              <w:spacing w:after="0" w:line="195" w:lineRule="exact"/>
              <w:rPr>
                <w:rFonts w:ascii="Arial" w:cs="Arial" w:eastAsia="Arial" w:hAnsi="Arial"/>
                <w:sz w:val="22"/>
                <w:szCs w:val="22"/>
                <w:color w:val="0000FF"/>
              </w:rPr>
            </w:pPr>
            <w:hyperlink w:anchor="page3">
              <w:r>
                <w:rPr>
                  <w:rFonts w:ascii="Arial" w:cs="Arial" w:eastAsia="Arial" w:hAnsi="Arial"/>
                  <w:sz w:val="22"/>
                  <w:szCs w:val="22"/>
                  <w:color w:val="0000FF"/>
                </w:rPr>
                <w:t>June 30, 2021</w:t>
              </w:r>
            </w:hyperlink>
          </w:p>
        </w:tc>
        <w:tc>
          <w:tcPr>
            <w:tcW w:w="9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1"/>
            <w:shd w:val="clear" w:color="auto" w:fill="CCEEFF"/>
          </w:tcPr>
          <w:p>
            <w:pPr>
              <w:spacing w:after="0" w:line="216" w:lineRule="exact"/>
              <w:rPr>
                <w:rFonts w:ascii="Arial" w:cs="Arial" w:eastAsia="Arial" w:hAnsi="Arial"/>
                <w:sz w:val="22"/>
                <w:szCs w:val="22"/>
                <w:color w:val="0000FF"/>
              </w:rPr>
            </w:pPr>
            <w:hyperlink w:anchor="page4">
              <w:r>
                <w:rPr>
                  <w:rFonts w:ascii="Arial" w:cs="Arial" w:eastAsia="Arial" w:hAnsi="Arial"/>
                  <w:sz w:val="22"/>
                  <w:szCs w:val="22"/>
                  <w:color w:val="0000FF"/>
                </w:rPr>
                <w:t>Consolidated Statements of Cash Flows</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4">
              <w:r>
                <w:rPr>
                  <w:rFonts w:ascii="Arial" w:cs="Arial" w:eastAsia="Arial" w:hAnsi="Arial"/>
                  <w:sz w:val="22"/>
                  <w:szCs w:val="22"/>
                  <w:color w:val="0000FF"/>
                  <w:w w:val="97"/>
                </w:rPr>
                <w:t>3</w:t>
              </w:r>
            </w:hyperlink>
          </w:p>
        </w:tc>
        <w:tc>
          <w:tcPr>
            <w:tcW w:w="480" w:type="dxa"/>
            <w:vAlign w:val="bottom"/>
            <w:shd w:val="clear" w:color="auto" w:fill="CCEEFF"/>
          </w:tcPr>
          <w:p>
            <w:pPr>
              <w:spacing w:after="0"/>
              <w:rPr>
                <w:sz w:val="18"/>
                <w:szCs w:val="18"/>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8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80" w:type="dxa"/>
            <w:vAlign w:val="bottom"/>
            <w:gridSpan w:val="2"/>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0000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60" w:type="dxa"/>
            <w:vAlign w:val="bottom"/>
            <w:gridSpan w:val="19"/>
            <w:shd w:val="clear" w:color="auto" w:fill="CCEEFF"/>
          </w:tcPr>
          <w:p>
            <w:pPr>
              <w:spacing w:after="0" w:line="195" w:lineRule="exact"/>
              <w:rPr>
                <w:rFonts w:ascii="Arial" w:cs="Arial" w:eastAsia="Arial" w:hAnsi="Arial"/>
                <w:sz w:val="22"/>
                <w:szCs w:val="22"/>
                <w:color w:val="0000FF"/>
              </w:rPr>
            </w:pPr>
            <w:hyperlink w:anchor="page4">
              <w:r>
                <w:rPr>
                  <w:rFonts w:ascii="Arial" w:cs="Arial" w:eastAsia="Arial" w:hAnsi="Arial"/>
                  <w:sz w:val="22"/>
                  <w:szCs w:val="22"/>
                  <w:color w:val="0000FF"/>
                </w:rPr>
                <w:t>Nine months ended March 31, 2022 and 2021</w:t>
              </w:r>
            </w:hyperlink>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60" w:type="dxa"/>
            <w:vAlign w:val="bottom"/>
            <w:gridSpan w:val="22"/>
          </w:tcPr>
          <w:p>
            <w:pPr>
              <w:ind w:left="160"/>
              <w:spacing w:after="0" w:line="216" w:lineRule="exact"/>
              <w:rPr>
                <w:rFonts w:ascii="Arial" w:cs="Arial" w:eastAsia="Arial" w:hAnsi="Arial"/>
                <w:sz w:val="22"/>
                <w:szCs w:val="22"/>
                <w:color w:val="0000FF"/>
              </w:rPr>
            </w:pPr>
            <w:hyperlink w:anchor="page5">
              <w:r>
                <w:rPr>
                  <w:rFonts w:ascii="Arial" w:cs="Arial" w:eastAsia="Arial" w:hAnsi="Arial"/>
                  <w:sz w:val="22"/>
                  <w:szCs w:val="22"/>
                  <w:color w:val="0000FF"/>
                </w:rPr>
                <w:t>Consolidated Statements of Stockholders' Equity</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5">
              <w:r>
                <w:rPr>
                  <w:rFonts w:ascii="Arial" w:cs="Arial" w:eastAsia="Arial" w:hAnsi="Arial"/>
                  <w:sz w:val="22"/>
                  <w:szCs w:val="22"/>
                  <w:color w:val="0000FF"/>
                  <w:w w:val="97"/>
                </w:rPr>
                <w:t>4</w:t>
              </w:r>
            </w:hyperlink>
          </w:p>
        </w:tc>
        <w:tc>
          <w:tcPr>
            <w:tcW w:w="48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520" w:type="dxa"/>
            <w:vAlign w:val="bottom"/>
            <w:tcBorders>
              <w:top w:val="single" w:sz="8" w:color="0000FF"/>
            </w:tcBorders>
            <w:gridSpan w:val="15"/>
          </w:tcPr>
          <w:p>
            <w:pPr>
              <w:ind w:left="80"/>
              <w:spacing w:after="0" w:line="195" w:lineRule="exact"/>
              <w:rPr>
                <w:rFonts w:ascii="Arial" w:cs="Arial" w:eastAsia="Arial" w:hAnsi="Arial"/>
                <w:sz w:val="22"/>
                <w:szCs w:val="22"/>
                <w:color w:val="0000FF"/>
                <w:w w:val="97"/>
              </w:rPr>
            </w:pPr>
            <w:hyperlink w:anchor="page5">
              <w:r>
                <w:rPr>
                  <w:rFonts w:ascii="Arial" w:cs="Arial" w:eastAsia="Arial" w:hAnsi="Arial"/>
                  <w:sz w:val="22"/>
                  <w:szCs w:val="22"/>
                  <w:color w:val="0000FF"/>
                  <w:w w:val="97"/>
                </w:rPr>
                <w:t>Three and nine months ended March 31, 2022</w:t>
              </w:r>
            </w:hyperlink>
          </w:p>
        </w:tc>
        <w:tc>
          <w:tcPr>
            <w:tcW w:w="3820" w:type="dxa"/>
            <w:vAlign w:val="bottom"/>
            <w:gridSpan w:val="5"/>
          </w:tcPr>
          <w:p>
            <w:pPr>
              <w:ind w:left="60"/>
              <w:spacing w:after="0" w:line="195" w:lineRule="exact"/>
              <w:rPr>
                <w:rFonts w:ascii="Arial" w:cs="Arial" w:eastAsia="Arial" w:hAnsi="Arial"/>
                <w:sz w:val="22"/>
                <w:szCs w:val="22"/>
                <w:color w:val="0000FF"/>
              </w:rPr>
            </w:pPr>
            <w:hyperlink w:anchor="page5">
              <w:r>
                <w:rPr>
                  <w:rFonts w:ascii="Arial" w:cs="Arial" w:eastAsia="Arial" w:hAnsi="Arial"/>
                  <w:sz w:val="22"/>
                  <w:szCs w:val="22"/>
                  <w:color w:val="0000FF"/>
                </w:rPr>
                <w:t>and 2021</w:t>
              </w:r>
            </w:hyperlink>
          </w:p>
        </w:tc>
        <w:tc>
          <w:tcPr>
            <w:tcW w:w="94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8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1"/>
            <w:shd w:val="clear" w:color="auto" w:fill="CCEEFF"/>
          </w:tcPr>
          <w:p>
            <w:pPr>
              <w:spacing w:after="0" w:line="216" w:lineRule="exact"/>
              <w:rPr>
                <w:rFonts w:ascii="Arial" w:cs="Arial" w:eastAsia="Arial" w:hAnsi="Arial"/>
                <w:sz w:val="22"/>
                <w:szCs w:val="22"/>
                <w:color w:val="0000FF"/>
              </w:rPr>
            </w:pPr>
            <w:hyperlink w:anchor="page7">
              <w:r>
                <w:rPr>
                  <w:rFonts w:ascii="Arial" w:cs="Arial" w:eastAsia="Arial" w:hAnsi="Arial"/>
                  <w:sz w:val="22"/>
                  <w:szCs w:val="22"/>
                  <w:color w:val="0000FF"/>
                </w:rPr>
                <w:t>Notes to Consolidated Financial Statements</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7">
              <w:r>
                <w:rPr>
                  <w:rFonts w:ascii="Arial" w:cs="Arial" w:eastAsia="Arial" w:hAnsi="Arial"/>
                  <w:sz w:val="22"/>
                  <w:szCs w:val="22"/>
                  <w:color w:val="0000FF"/>
                  <w:w w:val="97"/>
                </w:rPr>
                <w:t>6</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20">
              <w:r>
                <w:rPr>
                  <w:rFonts w:ascii="Arial" w:cs="Arial" w:eastAsia="Arial" w:hAnsi="Arial"/>
                  <w:sz w:val="22"/>
                  <w:szCs w:val="22"/>
                  <w:color w:val="0000FF"/>
                </w:rPr>
                <w:t>Item 2.</w:t>
              </w:r>
            </w:hyperlink>
          </w:p>
        </w:tc>
        <w:tc>
          <w:tcPr>
            <w:tcW w:w="160" w:type="dxa"/>
            <w:vAlign w:val="bottom"/>
          </w:tcPr>
          <w:p>
            <w:pPr>
              <w:spacing w:after="0"/>
              <w:rPr>
                <w:sz w:val="18"/>
                <w:szCs w:val="18"/>
                <w:color w:val="auto"/>
              </w:rPr>
            </w:pPr>
          </w:p>
        </w:tc>
        <w:tc>
          <w:tcPr>
            <w:tcW w:w="8500" w:type="dxa"/>
            <w:vAlign w:val="bottom"/>
            <w:gridSpan w:val="21"/>
          </w:tcPr>
          <w:p>
            <w:pPr>
              <w:spacing w:after="0" w:line="216" w:lineRule="exact"/>
              <w:rPr>
                <w:rFonts w:ascii="Arial" w:cs="Arial" w:eastAsia="Arial" w:hAnsi="Arial"/>
                <w:sz w:val="22"/>
                <w:szCs w:val="22"/>
                <w:color w:val="0000FF"/>
                <w:w w:val="98"/>
              </w:rPr>
            </w:pPr>
            <w:hyperlink w:anchor="page20">
              <w:r>
                <w:rPr>
                  <w:rFonts w:ascii="Arial" w:cs="Arial" w:eastAsia="Arial" w:hAnsi="Arial"/>
                  <w:sz w:val="22"/>
                  <w:szCs w:val="22"/>
                  <w:color w:val="0000FF"/>
                  <w:w w:val="98"/>
                </w:rPr>
                <w:t>Management's Discussion and Analysis of Financial Condition and Results of Operations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20">
              <w:r>
                <w:rPr>
                  <w:rFonts w:ascii="Arial" w:cs="Arial" w:eastAsia="Arial" w:hAnsi="Arial"/>
                  <w:sz w:val="22"/>
                  <w:szCs w:val="22"/>
                  <w:color w:val="0000FF"/>
                  <w:w w:val="97"/>
                </w:rPr>
                <w:t>18</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96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Item 3.</w:t>
              </w:r>
            </w:hyperlink>
          </w:p>
        </w:tc>
        <w:tc>
          <w:tcPr>
            <w:tcW w:w="8660" w:type="dxa"/>
            <w:vAlign w:val="bottom"/>
            <w:gridSpan w:val="22"/>
            <w:shd w:val="clear" w:color="auto" w:fill="CCEEFF"/>
          </w:tcPr>
          <w:p>
            <w:pPr>
              <w:ind w:left="160"/>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Quantitative and Qualitative Disclosures About Market Risk</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30">
              <w:r>
                <w:rPr>
                  <w:rFonts w:ascii="Arial" w:cs="Arial" w:eastAsia="Arial" w:hAnsi="Arial"/>
                  <w:sz w:val="22"/>
                  <w:szCs w:val="22"/>
                  <w:color w:val="0000FF"/>
                  <w:w w:val="97"/>
                </w:rPr>
                <w:t>28</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Item 4.</w:t>
              </w:r>
            </w:hyperlink>
          </w:p>
        </w:tc>
        <w:tc>
          <w:tcPr>
            <w:tcW w:w="8660" w:type="dxa"/>
            <w:vAlign w:val="bottom"/>
            <w:gridSpan w:val="22"/>
          </w:tcPr>
          <w:p>
            <w:pPr>
              <w:ind w:left="160"/>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Controls and Procedures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30">
              <w:r>
                <w:rPr>
                  <w:rFonts w:ascii="Arial" w:cs="Arial" w:eastAsia="Arial" w:hAnsi="Arial"/>
                  <w:sz w:val="22"/>
                  <w:szCs w:val="22"/>
                  <w:color w:val="0000FF"/>
                  <w:w w:val="97"/>
                </w:rPr>
                <w:t>28</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660" w:type="dxa"/>
            <w:vAlign w:val="bottom"/>
            <w:gridSpan w:val="8"/>
            <w:shd w:val="clear" w:color="auto" w:fill="CCEEFF"/>
          </w:tcPr>
          <w:p>
            <w:pPr>
              <w:ind w:left="220"/>
              <w:spacing w:after="0"/>
              <w:rPr>
                <w:rFonts w:ascii="Arial" w:cs="Arial" w:eastAsia="Arial" w:hAnsi="Arial"/>
                <w:sz w:val="22"/>
                <w:szCs w:val="22"/>
                <w:b w:val="1"/>
                <w:bCs w:val="1"/>
                <w:color w:val="auto"/>
              </w:rPr>
            </w:pPr>
            <w:hyperlink w:anchor="page30">
              <w:r>
                <w:rPr>
                  <w:rFonts w:ascii="Arial" w:cs="Arial" w:eastAsia="Arial" w:hAnsi="Arial"/>
                  <w:sz w:val="22"/>
                  <w:szCs w:val="22"/>
                  <w:b w:val="1"/>
                  <w:bCs w:val="1"/>
                  <w:color w:val="auto"/>
                </w:rPr>
                <w:t>PART II</w:t>
              </w:r>
            </w:hyperlink>
          </w:p>
        </w:tc>
        <w:tc>
          <w:tcPr>
            <w:tcW w:w="9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Item 1.</w:t>
              </w:r>
            </w:hyperlink>
          </w:p>
        </w:tc>
        <w:tc>
          <w:tcPr>
            <w:tcW w:w="8660" w:type="dxa"/>
            <w:vAlign w:val="bottom"/>
            <w:gridSpan w:val="22"/>
          </w:tcPr>
          <w:p>
            <w:pPr>
              <w:ind w:left="160"/>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Legal Proceedings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30">
              <w:r>
                <w:rPr>
                  <w:rFonts w:ascii="Arial" w:cs="Arial" w:eastAsia="Arial" w:hAnsi="Arial"/>
                  <w:sz w:val="22"/>
                  <w:szCs w:val="22"/>
                  <w:color w:val="0000FF"/>
                  <w:w w:val="97"/>
                </w:rPr>
                <w:t>28</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line="216" w:lineRule="exact"/>
              <w:rPr>
                <w:rFonts w:ascii="Arial" w:cs="Arial" w:eastAsia="Arial" w:hAnsi="Arial"/>
                <w:sz w:val="22"/>
                <w:szCs w:val="22"/>
                <w:color w:val="0000FF"/>
                <w:w w:val="97"/>
              </w:rPr>
            </w:pPr>
            <w:hyperlink w:anchor="page30">
              <w:r>
                <w:rPr>
                  <w:rFonts w:ascii="Arial" w:cs="Arial" w:eastAsia="Arial" w:hAnsi="Arial"/>
                  <w:sz w:val="22"/>
                  <w:szCs w:val="22"/>
                  <w:color w:val="0000FF"/>
                  <w:w w:val="97"/>
                </w:rPr>
                <w:t>Item 1A.</w:t>
              </w:r>
            </w:hyperlink>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500" w:type="dxa"/>
            <w:vAlign w:val="bottom"/>
            <w:gridSpan w:val="21"/>
            <w:shd w:val="clear" w:color="auto" w:fill="CCEEFF"/>
          </w:tcPr>
          <w:p>
            <w:pPr>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Risk Factors</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30">
              <w:r>
                <w:rPr>
                  <w:rFonts w:ascii="Arial" w:cs="Arial" w:eastAsia="Arial" w:hAnsi="Arial"/>
                  <w:sz w:val="22"/>
                  <w:szCs w:val="22"/>
                  <w:color w:val="0000FF"/>
                  <w:w w:val="97"/>
                </w:rPr>
                <w:t>28</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20" w:type="dxa"/>
            <w:vAlign w:val="bottom"/>
            <w:gridSpan w:val="2"/>
          </w:tcPr>
          <w:p>
            <w:pPr>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Item 2.</w:t>
              </w:r>
            </w:hyperlink>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500" w:type="dxa"/>
            <w:vAlign w:val="bottom"/>
            <w:gridSpan w:val="21"/>
          </w:tcPr>
          <w:p>
            <w:pPr>
              <w:spacing w:after="0" w:line="216" w:lineRule="exact"/>
              <w:rPr>
                <w:rFonts w:ascii="Arial" w:cs="Arial" w:eastAsia="Arial" w:hAnsi="Arial"/>
                <w:sz w:val="22"/>
                <w:szCs w:val="22"/>
                <w:color w:val="0000FF"/>
              </w:rPr>
            </w:pPr>
            <w:hyperlink w:anchor="page30">
              <w:r>
                <w:rPr>
                  <w:rFonts w:ascii="Arial" w:cs="Arial" w:eastAsia="Arial" w:hAnsi="Arial"/>
                  <w:sz w:val="22"/>
                  <w:szCs w:val="22"/>
                  <w:color w:val="0000FF"/>
                </w:rPr>
                <w:t>Unregistered Sales of Equity Securities and Use of Proceeds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30">
              <w:r>
                <w:rPr>
                  <w:rFonts w:ascii="Arial" w:cs="Arial" w:eastAsia="Arial" w:hAnsi="Arial"/>
                  <w:sz w:val="22"/>
                  <w:szCs w:val="22"/>
                  <w:color w:val="0000FF"/>
                  <w:w w:val="97"/>
                </w:rPr>
                <w:t>29</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3.</w:t>
              </w:r>
            </w:hyperlink>
          </w:p>
        </w:tc>
        <w:tc>
          <w:tcPr>
            <w:tcW w:w="8660" w:type="dxa"/>
            <w:vAlign w:val="bottom"/>
            <w:gridSpan w:val="22"/>
            <w:shd w:val="clear" w:color="auto" w:fill="CCEEFF"/>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Defaults Upon Senior Securities</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4.</w:t>
              </w:r>
            </w:hyperlink>
          </w:p>
        </w:tc>
        <w:tc>
          <w:tcPr>
            <w:tcW w:w="8660" w:type="dxa"/>
            <w:vAlign w:val="bottom"/>
            <w:gridSpan w:val="22"/>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Mine Safety Disclosures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5.</w:t>
              </w:r>
            </w:hyperlink>
          </w:p>
        </w:tc>
        <w:tc>
          <w:tcPr>
            <w:tcW w:w="8660" w:type="dxa"/>
            <w:vAlign w:val="bottom"/>
            <w:gridSpan w:val="22"/>
            <w:shd w:val="clear" w:color="auto" w:fill="CCEEFF"/>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Other Information</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29</w:t>
              </w:r>
            </w:hyperlink>
          </w:p>
        </w:tc>
        <w:tc>
          <w:tcPr>
            <w:tcW w:w="480" w:type="dxa"/>
            <w:vAlign w:val="bottom"/>
            <w:shd w:val="clear" w:color="auto" w:fill="CCEEFF"/>
          </w:tcPr>
          <w:p>
            <w:pPr>
              <w:spacing w:after="0"/>
              <w:rPr>
                <w:sz w:val="18"/>
                <w:szCs w:val="18"/>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9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right w:val="single" w:sz="8" w:color="CCEEFF"/>
            </w:tcBorders>
            <w:shd w:val="clear" w:color="auto" w:fill="CCEEFF"/>
          </w:tcPr>
          <w:p>
            <w:pPr>
              <w:spacing w:after="0"/>
              <w:rPr>
                <w:sz w:val="2"/>
                <w:szCs w:val="2"/>
                <w:color w:val="auto"/>
              </w:rPr>
            </w:pPr>
          </w:p>
        </w:tc>
        <w:tc>
          <w:tcPr>
            <w:tcW w:w="180" w:type="dxa"/>
            <w:vAlign w:val="bottom"/>
            <w:tcBorders>
              <w:top w:val="single" w:sz="8" w:color="0000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60" w:type="dxa"/>
            <w:vAlign w:val="bottom"/>
            <w:gridSpan w:val="3"/>
          </w:tcPr>
          <w:p>
            <w:pPr>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Item 6.</w:t>
              </w:r>
            </w:hyperlink>
          </w:p>
        </w:tc>
        <w:tc>
          <w:tcPr>
            <w:tcW w:w="8660" w:type="dxa"/>
            <w:vAlign w:val="bottom"/>
            <w:gridSpan w:val="22"/>
          </w:tcPr>
          <w:p>
            <w:pPr>
              <w:ind w:left="160"/>
              <w:spacing w:after="0" w:line="216" w:lineRule="exact"/>
              <w:rPr>
                <w:rFonts w:ascii="Arial" w:cs="Arial" w:eastAsia="Arial" w:hAnsi="Arial"/>
                <w:sz w:val="22"/>
                <w:szCs w:val="22"/>
                <w:color w:val="0000FF"/>
              </w:rPr>
            </w:pPr>
            <w:hyperlink w:anchor="page31">
              <w:r>
                <w:rPr>
                  <w:rFonts w:ascii="Arial" w:cs="Arial" w:eastAsia="Arial" w:hAnsi="Arial"/>
                  <w:sz w:val="22"/>
                  <w:szCs w:val="22"/>
                  <w:color w:val="0000FF"/>
                </w:rPr>
                <w:t>Exhibits</w:t>
              </w:r>
            </w:hyperlink>
          </w:p>
        </w:tc>
        <w:tc>
          <w:tcPr>
            <w:tcW w:w="1120" w:type="dxa"/>
            <w:vAlign w:val="bottom"/>
            <w:gridSpan w:val="2"/>
          </w:tcPr>
          <w:p>
            <w:pPr>
              <w:jc w:val="center"/>
              <w:ind w:left="772"/>
              <w:spacing w:after="0" w:line="216" w:lineRule="exact"/>
              <w:rPr>
                <w:rFonts w:ascii="Arial" w:cs="Arial" w:eastAsia="Arial" w:hAnsi="Arial"/>
                <w:sz w:val="22"/>
                <w:szCs w:val="22"/>
                <w:color w:val="0000FF"/>
                <w:w w:val="97"/>
              </w:rPr>
            </w:pPr>
            <w:hyperlink w:anchor="page31">
              <w:r>
                <w:rPr>
                  <w:rFonts w:ascii="Arial" w:cs="Arial" w:eastAsia="Arial" w:hAnsi="Arial"/>
                  <w:sz w:val="22"/>
                  <w:szCs w:val="22"/>
                  <w:color w:val="0000FF"/>
                  <w:w w:val="97"/>
                </w:rPr>
                <w:t>30</w:t>
              </w:r>
            </w:hyperlink>
          </w:p>
        </w:tc>
        <w:tc>
          <w:tcPr>
            <w:tcW w:w="48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60" w:type="dxa"/>
            <w:vAlign w:val="bottom"/>
            <w:gridSpan w:val="22"/>
            <w:shd w:val="clear" w:color="auto" w:fill="CCEEFF"/>
          </w:tcPr>
          <w:p>
            <w:pPr>
              <w:ind w:left="160"/>
              <w:spacing w:after="0" w:line="216" w:lineRule="exact"/>
              <w:rPr>
                <w:rFonts w:ascii="Arial" w:cs="Arial" w:eastAsia="Arial" w:hAnsi="Arial"/>
                <w:sz w:val="22"/>
                <w:szCs w:val="22"/>
                <w:color w:val="0000FF"/>
              </w:rPr>
            </w:pPr>
            <w:hyperlink w:anchor="page32">
              <w:r>
                <w:rPr>
                  <w:rFonts w:ascii="Arial" w:cs="Arial" w:eastAsia="Arial" w:hAnsi="Arial"/>
                  <w:sz w:val="22"/>
                  <w:szCs w:val="22"/>
                  <w:color w:val="0000FF"/>
                </w:rPr>
                <w:t>Signatures</w:t>
              </w:r>
            </w:hyperlink>
          </w:p>
        </w:tc>
        <w:tc>
          <w:tcPr>
            <w:tcW w:w="1120" w:type="dxa"/>
            <w:vAlign w:val="bottom"/>
            <w:tcBorders>
              <w:right w:val="single" w:sz="8" w:color="CCEEFF"/>
            </w:tcBorders>
            <w:gridSpan w:val="2"/>
            <w:shd w:val="clear" w:color="auto" w:fill="CCEEFF"/>
          </w:tcPr>
          <w:p>
            <w:pPr>
              <w:jc w:val="center"/>
              <w:ind w:left="772"/>
              <w:spacing w:after="0" w:line="216" w:lineRule="exact"/>
              <w:rPr>
                <w:rFonts w:ascii="Arial" w:cs="Arial" w:eastAsia="Arial" w:hAnsi="Arial"/>
                <w:sz w:val="22"/>
                <w:szCs w:val="22"/>
                <w:color w:val="0000FF"/>
                <w:w w:val="97"/>
              </w:rPr>
            </w:pPr>
            <w:hyperlink w:anchor="page32">
              <w:r>
                <w:rPr>
                  <w:rFonts w:ascii="Arial" w:cs="Arial" w:eastAsia="Arial" w:hAnsi="Arial"/>
                  <w:sz w:val="22"/>
                  <w:szCs w:val="22"/>
                  <w:color w:val="0000FF"/>
                  <w:w w:val="97"/>
                </w:rPr>
                <w:t>31</w:t>
              </w:r>
            </w:hyperlink>
          </w:p>
        </w:tc>
        <w:tc>
          <w:tcPr>
            <w:tcW w:w="480" w:type="dxa"/>
            <w:vAlign w:val="bottom"/>
            <w:shd w:val="clear" w:color="auto" w:fill="CCEEFF"/>
          </w:tcPr>
          <w:p>
            <w:pPr>
              <w:spacing w:after="0"/>
              <w:rPr>
                <w:sz w:val="21"/>
                <w:szCs w:val="21"/>
                <w:color w:val="auto"/>
              </w:rPr>
            </w:pPr>
          </w:p>
        </w:tc>
      </w:tr>
      <w:tr>
        <w:trPr>
          <w:trHeight w:val="1856"/>
        </w:trPr>
        <w:tc>
          <w:tcPr>
            <w:tcW w:w="2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1960" w:type="dxa"/>
            <w:vAlign w:val="bottom"/>
            <w:tcBorders>
              <w:top w:val="single" w:sz="8" w:color="CCEEFF"/>
              <w:bottom w:val="single" w:sz="8" w:color="9A9A9A"/>
            </w:tcBorders>
          </w:tcPr>
          <w:p>
            <w:pPr>
              <w:spacing w:after="0"/>
              <w:rPr>
                <w:sz w:val="24"/>
                <w:szCs w:val="24"/>
                <w:color w:val="auto"/>
              </w:rPr>
            </w:pPr>
          </w:p>
        </w:tc>
        <w:tc>
          <w:tcPr>
            <w:tcW w:w="94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1080" w:val="left"/>
        </w:tabs>
        <w:rPr>
          <w:sz w:val="20"/>
          <w:szCs w:val="20"/>
          <w:color w:val="auto"/>
        </w:rPr>
      </w:pPr>
      <w:r>
        <w:rPr>
          <w:rFonts w:ascii="Arial" w:cs="Arial" w:eastAsia="Arial" w:hAnsi="Arial"/>
          <w:sz w:val="25"/>
          <w:szCs w:val="25"/>
          <w:b w:val="1"/>
          <w:bCs w:val="1"/>
          <w:color w:val="14AA40"/>
        </w:rPr>
        <w:t>PART I</w:t>
      </w:r>
      <w:r>
        <w:rPr>
          <w:sz w:val="20"/>
          <w:szCs w:val="20"/>
          <w:color w:val="auto"/>
        </w:rPr>
        <w:tab/>
      </w:r>
      <w:r>
        <w:rPr>
          <w:rFonts w:ascii="Arial" w:cs="Arial" w:eastAsia="Arial" w:hAnsi="Arial"/>
          <w:sz w:val="24"/>
          <w:szCs w:val="24"/>
          <w:b w:val="1"/>
          <w:bCs w:val="1"/>
          <w:color w:val="14AA40"/>
        </w:rPr>
        <w:t>FINANCIAL INFORMATION</w:t>
      </w:r>
    </w:p>
    <w:p>
      <w:pPr>
        <w:spacing w:after="0" w:line="118"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1.</w:t>
      </w:r>
      <w:r>
        <w:rPr>
          <w:sz w:val="20"/>
          <w:szCs w:val="20"/>
          <w:color w:val="auto"/>
        </w:rPr>
        <w:tab/>
      </w:r>
      <w:r>
        <w:rPr>
          <w:rFonts w:ascii="Arial" w:cs="Arial" w:eastAsia="Arial" w:hAnsi="Arial"/>
          <w:sz w:val="24"/>
          <w:szCs w:val="24"/>
          <w:b w:val="1"/>
          <w:bCs w:val="1"/>
          <w:color w:val="14AA40"/>
        </w:rPr>
        <w:t>FINANCIAL STATEMENTS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ind w:left="20" w:right="20"/>
        <w:spacing w:after="0" w:line="182" w:lineRule="auto"/>
        <w:rPr>
          <w:sz w:val="20"/>
          <w:szCs w:val="20"/>
          <w:color w:val="auto"/>
        </w:rPr>
      </w:pPr>
      <w:r>
        <w:rPr>
          <w:rFonts w:ascii="Arial" w:cs="Arial" w:eastAsia="Arial" w:hAnsi="Arial"/>
          <w:sz w:val="35"/>
          <w:szCs w:val="35"/>
          <w:b w:val="1"/>
          <w:bCs w:val="1"/>
          <w:color w:val="auto"/>
          <w:vertAlign w:val="subscript"/>
        </w:rPr>
        <w:t>AND COMPREHENSIVE INCOME</w:t>
      </w:r>
      <w:r>
        <w:rPr>
          <w:rFonts w:ascii="Arial" w:cs="Arial" w:eastAsia="Arial" w:hAnsi="Arial"/>
          <w:sz w:val="13"/>
          <w:szCs w:val="13"/>
          <w:color w:val="auto"/>
        </w:rPr>
        <w:t xml:space="preserve">                                       (unaudited, in 000s,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60" w:type="dxa"/>
            <w:vAlign w:val="bottom"/>
            <w:tcBorders>
              <w:top w:val="single" w:sz="8" w:color="auto"/>
            </w:tcBorders>
            <w:gridSpan w:val="5"/>
          </w:tcPr>
          <w:p>
            <w:pPr>
              <w:ind w:left="180"/>
              <w:spacing w:after="0"/>
              <w:rPr>
                <w:sz w:val="20"/>
                <w:szCs w:val="20"/>
                <w:color w:val="auto"/>
              </w:rPr>
            </w:pPr>
            <w:r>
              <w:rPr>
                <w:rFonts w:ascii="Arial" w:cs="Arial" w:eastAsia="Arial" w:hAnsi="Arial"/>
                <w:sz w:val="16"/>
                <w:szCs w:val="16"/>
                <w:color w:val="auto"/>
              </w:rPr>
              <w:t>Three months ended March 31,</w:t>
            </w:r>
          </w:p>
        </w:tc>
        <w:tc>
          <w:tcPr>
            <w:tcW w:w="30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gridSpan w:val="4"/>
          </w:tcPr>
          <w:p>
            <w:pPr>
              <w:jc w:val="right"/>
              <w:ind w:right="423"/>
              <w:spacing w:after="0"/>
              <w:rPr>
                <w:sz w:val="20"/>
                <w:szCs w:val="20"/>
                <w:color w:val="auto"/>
              </w:rPr>
            </w:pPr>
            <w:r>
              <w:rPr>
                <w:rFonts w:ascii="Arial" w:cs="Arial" w:eastAsia="Arial" w:hAnsi="Arial"/>
                <w:sz w:val="16"/>
                <w:szCs w:val="16"/>
                <w:color w:val="auto"/>
              </w:rPr>
              <w:t>Nine months ended March 31,</w:t>
            </w:r>
          </w:p>
        </w:tc>
        <w:tc>
          <w:tcPr>
            <w:tcW w:w="0" w:type="dxa"/>
            <w:vAlign w:val="bottom"/>
          </w:tcPr>
          <w:p>
            <w:pPr>
              <w:spacing w:after="0"/>
              <w:rPr>
                <w:sz w:val="1"/>
                <w:szCs w:val="1"/>
                <w:color w:val="auto"/>
              </w:rPr>
            </w:pPr>
          </w:p>
        </w:tc>
      </w:tr>
      <w:tr>
        <w:trPr>
          <w:trHeight w:val="212"/>
        </w:trPr>
        <w:tc>
          <w:tcPr>
            <w:tcW w:w="4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REVENUES:</w:t>
            </w: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79"/>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Service revenues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1,841,122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1,763,693</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2,151,824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2,262,663</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Royalty, product and other revenues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220,635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219,871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261,373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280,212</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2,061,757</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1,983,564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2,413,197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2,542,875</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OPERATING EXPENSES:</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Costs of revenues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831,455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795,494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1,362,310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1,350,730</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Selling, general and administrative</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344,937</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336,833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617,594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621,209</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1,176,392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1,132,327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1,979,904</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1,971,939</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 net</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1,989</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3,491</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expense on borrowings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(23,746)</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(22,471)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(69,661)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(78,657)</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from continuing operations before income taxes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861,857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829,215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365,621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495,770</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taxes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186,884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69,543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29,666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50,997</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from continuing operations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674,973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759,672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335,955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444,773</w:t>
            </w:r>
          </w:p>
        </w:tc>
        <w:tc>
          <w:tcPr>
            <w:tcW w:w="0" w:type="dxa"/>
            <w:vAlign w:val="bottom"/>
          </w:tcPr>
          <w:p>
            <w:pPr>
              <w:spacing w:after="0"/>
              <w:rPr>
                <w:sz w:val="1"/>
                <w:szCs w:val="1"/>
                <w:color w:val="auto"/>
              </w:rPr>
            </w:pPr>
          </w:p>
        </w:tc>
      </w:tr>
      <w:tr>
        <w:trPr>
          <w:trHeight w:val="159"/>
        </w:trPr>
        <w:tc>
          <w:tcPr>
            <w:tcW w:w="4700" w:type="dxa"/>
            <w:vAlign w:val="bottom"/>
          </w:tcPr>
          <w:p>
            <w:pPr>
              <w:ind w:left="20"/>
              <w:spacing w:after="0" w:line="159" w:lineRule="exact"/>
              <w:rPr>
                <w:sz w:val="20"/>
                <w:szCs w:val="20"/>
                <w:color w:val="auto"/>
              </w:rPr>
            </w:pPr>
            <w:r>
              <w:rPr>
                <w:rFonts w:ascii="Arial" w:cs="Arial" w:eastAsia="Arial" w:hAnsi="Arial"/>
                <w:sz w:val="15"/>
                <w:szCs w:val="15"/>
                <w:color w:val="auto"/>
              </w:rPr>
              <w:t>Net loss from discontinued operations, net of tax benefits of $539,</w:t>
            </w:r>
          </w:p>
        </w:tc>
        <w:tc>
          <w:tcPr>
            <w:tcW w:w="3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(1,796)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(4,984)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$793, $1,495 and $3,317</w:t>
            </w: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(4,533)</w:t>
            </w: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673,177</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758,247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330,971</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440,240</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BASIC EARNINGS PER SHARE:</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4.13</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1.92</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182"/>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DILUTED EARNINGS PER SHARE:</w:t>
            </w: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Continuing operations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1.92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0" w:type="dxa"/>
            <w:vAlign w:val="bottom"/>
          </w:tcPr>
          <w:p>
            <w:pPr>
              <w:spacing w:after="0"/>
              <w:rPr>
                <w:sz w:val="1"/>
                <w:szCs w:val="1"/>
                <w:color w:val="auto"/>
              </w:rPr>
            </w:pPr>
          </w:p>
        </w:tc>
      </w:tr>
      <w:tr>
        <w:trPr>
          <w:trHeight w:val="202"/>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Discontinued operations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Consolidated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4.05</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4.08</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1.89</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0" w:type="dxa"/>
            <w:vAlign w:val="bottom"/>
          </w:tcPr>
          <w:p>
            <w:pPr>
              <w:spacing w:after="0"/>
              <w:rPr>
                <w:sz w:val="1"/>
                <w:szCs w:val="1"/>
                <w:color w:val="auto"/>
              </w:rPr>
            </w:pPr>
          </w:p>
        </w:tc>
      </w:tr>
      <w:tr>
        <w:trPr>
          <w:trHeight w:val="196"/>
        </w:trPr>
        <w:tc>
          <w:tcPr>
            <w:tcW w:w="4700" w:type="dxa"/>
            <w:vAlign w:val="bottom"/>
          </w:tcPr>
          <w:p>
            <w:pPr>
              <w:ind w:left="20"/>
              <w:spacing w:after="0"/>
              <w:rPr>
                <w:sz w:val="20"/>
                <w:szCs w:val="20"/>
                <w:color w:val="auto"/>
              </w:rPr>
            </w:pPr>
            <w:r>
              <w:rPr>
                <w:rFonts w:ascii="Arial" w:cs="Arial" w:eastAsia="Arial" w:hAnsi="Arial"/>
                <w:sz w:val="15"/>
                <w:szCs w:val="15"/>
                <w:b w:val="1"/>
                <w:bCs w:val="1"/>
                <w:color w:val="auto"/>
              </w:rPr>
              <w:t>DIVIDENDS DECLARED PER SHARE</w:t>
            </w:r>
          </w:p>
        </w:tc>
        <w:tc>
          <w:tcPr>
            <w:tcW w:w="30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0.27</w:t>
            </w:r>
          </w:p>
        </w:tc>
        <w:tc>
          <w:tcPr>
            <w:tcW w:w="12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0.26</w:t>
            </w:r>
          </w:p>
        </w:tc>
        <w:tc>
          <w:tcPr>
            <w:tcW w:w="120" w:type="dxa"/>
            <w:vAlign w:val="bottom"/>
          </w:tcPr>
          <w:p>
            <w:pPr>
              <w:spacing w:after="0"/>
              <w:rPr>
                <w:sz w:val="17"/>
                <w:szCs w:val="17"/>
                <w:color w:val="auto"/>
              </w:rPr>
            </w:pPr>
          </w:p>
        </w:tc>
        <w:tc>
          <w:tcPr>
            <w:tcW w:w="3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b w:val="1"/>
                <w:bCs w:val="1"/>
                <w:color w:val="auto"/>
              </w:rPr>
              <w:t>0.81</w:t>
            </w:r>
          </w:p>
        </w:tc>
        <w:tc>
          <w:tcPr>
            <w:tcW w:w="12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0.78</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COMPREHENSIVE INCOME:</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00" w:type="dxa"/>
            <w:vAlign w:val="bottom"/>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b w:val="1"/>
                <w:bCs w:val="1"/>
                <w:color w:val="auto"/>
              </w:rPr>
              <w:t>673,177</w:t>
            </w:r>
          </w:p>
        </w:tc>
        <w:tc>
          <w:tcPr>
            <w:tcW w:w="120" w:type="dxa"/>
            <w:vAlign w:val="bottom"/>
          </w:tcPr>
          <w:p>
            <w:pPr>
              <w:spacing w:after="0"/>
              <w:rPr>
                <w:sz w:val="17"/>
                <w:szCs w:val="17"/>
                <w:color w:val="auto"/>
              </w:rPr>
            </w:pPr>
          </w:p>
        </w:tc>
        <w:tc>
          <w:tcPr>
            <w:tcW w:w="480" w:type="dxa"/>
            <w:vAlign w:val="bottom"/>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758,247</w:t>
            </w:r>
          </w:p>
        </w:tc>
        <w:tc>
          <w:tcPr>
            <w:tcW w:w="120" w:type="dxa"/>
            <w:vAlign w:val="bottom"/>
          </w:tcPr>
          <w:p>
            <w:pPr>
              <w:spacing w:after="0"/>
              <w:rPr>
                <w:sz w:val="17"/>
                <w:szCs w:val="17"/>
                <w:color w:val="auto"/>
              </w:rPr>
            </w:pPr>
          </w:p>
        </w:tc>
        <w:tc>
          <w:tcPr>
            <w:tcW w:w="3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3"/>
              <w:spacing w:after="0"/>
              <w:rPr>
                <w:sz w:val="20"/>
                <w:szCs w:val="20"/>
                <w:color w:val="auto"/>
              </w:rPr>
            </w:pPr>
            <w:r>
              <w:rPr>
                <w:rFonts w:ascii="Arial" w:cs="Arial" w:eastAsia="Arial" w:hAnsi="Arial"/>
                <w:sz w:val="15"/>
                <w:szCs w:val="15"/>
                <w:b w:val="1"/>
                <w:bCs w:val="1"/>
                <w:color w:val="auto"/>
              </w:rPr>
              <w:t>330,971</w:t>
            </w:r>
          </w:p>
        </w:tc>
        <w:tc>
          <w:tcPr>
            <w:tcW w:w="120" w:type="dxa"/>
            <w:vAlign w:val="bottom"/>
          </w:tcPr>
          <w:p>
            <w:pPr>
              <w:spacing w:after="0"/>
              <w:rPr>
                <w:sz w:val="17"/>
                <w:szCs w:val="17"/>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440,240</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Change in foreign currency translation adjustments</w:t>
            </w: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5,595</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3,955</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(3,926)</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34,753</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ind w:left="140"/>
              <w:spacing w:after="0"/>
              <w:rPr>
                <w:sz w:val="20"/>
                <w:szCs w:val="20"/>
                <w:color w:val="auto"/>
              </w:rPr>
            </w:pPr>
            <w:r>
              <w:rPr>
                <w:rFonts w:ascii="Arial" w:cs="Arial" w:eastAsia="Arial" w:hAnsi="Arial"/>
                <w:sz w:val="15"/>
                <w:szCs w:val="15"/>
                <w:color w:val="auto"/>
              </w:rPr>
              <w:t>Other comprehensive income (loss)</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5,595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(3,926)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34,753</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Comprehensive income</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678,772</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762,202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327,045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474,993</w:t>
            </w:r>
          </w:p>
        </w:tc>
        <w:tc>
          <w:tcPr>
            <w:tcW w:w="0" w:type="dxa"/>
            <w:vAlign w:val="bottom"/>
          </w:tcPr>
          <w:p>
            <w:pPr>
              <w:spacing w:after="0"/>
              <w:rPr>
                <w:sz w:val="1"/>
                <w:szCs w:val="1"/>
                <w:color w:val="auto"/>
              </w:rPr>
            </w:pPr>
          </w:p>
        </w:tc>
      </w:tr>
      <w:tr>
        <w:trPr>
          <w:trHeight w:val="34"/>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648970</wp:posOffset>
            </wp:positionV>
            <wp:extent cx="21463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60"/>
        <w:spacing w:after="0"/>
        <w:tabs>
          <w:tab w:leader="none" w:pos="1102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sz w:val="20"/>
          <w:szCs w:val="20"/>
          <w:color w:val="auto"/>
        </w:rPr>
        <w:tab/>
      </w:r>
      <w:r>
        <w:rPr>
          <w:rFonts w:ascii="Arial" w:cs="Arial" w:eastAsia="Arial" w:hAnsi="Arial"/>
          <w:sz w:val="14"/>
          <w:szCs w:val="14"/>
          <w:color w:val="FFFFFF"/>
          <w:highlight w:val="black"/>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8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25"/>
                <w:szCs w:val="25"/>
                <w:b w:val="1"/>
                <w:bCs w:val="1"/>
                <w:color w:val="auto"/>
              </w:rPr>
              <w:t>CONSOLIDATED BALANCE SHEETS</w:t>
            </w:r>
          </w:p>
        </w:tc>
        <w:tc>
          <w:tcPr>
            <w:tcW w:w="4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1"/>
        </w:trPr>
        <w:tc>
          <w:tcPr>
            <w:tcW w:w="728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09"/>
        </w:trPr>
        <w:tc>
          <w:tcPr>
            <w:tcW w:w="7280" w:type="dxa"/>
            <w:vAlign w:val="bottom"/>
            <w:gridSpan w:val="2"/>
          </w:tcPr>
          <w:p>
            <w:pPr>
              <w:ind w:left="20"/>
              <w:spacing w:after="0"/>
              <w:rPr>
                <w:sz w:val="20"/>
                <w:szCs w:val="20"/>
                <w:color w:val="auto"/>
              </w:rPr>
            </w:pPr>
            <w:r>
              <w:rPr>
                <w:rFonts w:ascii="Arial" w:cs="Arial" w:eastAsia="Arial" w:hAnsi="Arial"/>
                <w:sz w:val="16"/>
                <w:szCs w:val="16"/>
                <w:color w:val="auto"/>
              </w:rPr>
              <w:t>As of</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June 30, 2021</w:t>
            </w:r>
          </w:p>
        </w:tc>
        <w:tc>
          <w:tcPr>
            <w:tcW w:w="0" w:type="dxa"/>
            <w:vAlign w:val="bottom"/>
          </w:tcPr>
          <w:p>
            <w:pPr>
              <w:spacing w:after="0"/>
              <w:rPr>
                <w:sz w:val="1"/>
                <w:szCs w:val="1"/>
                <w:color w:val="auto"/>
              </w:rPr>
            </w:pPr>
          </w:p>
        </w:tc>
      </w:tr>
      <w:tr>
        <w:trPr>
          <w:trHeight w:val="197"/>
        </w:trPr>
        <w:tc>
          <w:tcPr>
            <w:tcW w:w="7140" w:type="dxa"/>
            <w:vAlign w:val="bottom"/>
            <w:tcBorders>
              <w:top w:val="single" w:sz="8" w:color="auto"/>
            </w:tcBorders>
          </w:tcPr>
          <w:p>
            <w:pPr>
              <w:ind w:left="3280"/>
              <w:spacing w:after="0"/>
              <w:rPr>
                <w:sz w:val="20"/>
                <w:szCs w:val="20"/>
                <w:color w:val="auto"/>
              </w:rPr>
            </w:pPr>
            <w:r>
              <w:rPr>
                <w:rFonts w:ascii="Arial" w:cs="Arial" w:eastAsia="Arial" w:hAnsi="Arial"/>
                <w:sz w:val="15"/>
                <w:szCs w:val="15"/>
                <w:b w:val="1"/>
                <w:bCs w:val="1"/>
                <w:color w:val="auto"/>
              </w:rPr>
              <w:t>ASSETS</w:t>
            </w: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Cash and cash equivalents</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1,041,740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1,434,381</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Cash and cash equivalents - restricted</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135,314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149,783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Receivables, less allowance for credit losses of $61,512 and $77,518</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261,602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88,932</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Income taxes receivable</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340,355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330,872</w:t>
            </w:r>
          </w:p>
        </w:tc>
        <w:tc>
          <w:tcPr>
            <w:tcW w:w="0" w:type="dxa"/>
            <w:vAlign w:val="bottom"/>
          </w:tcPr>
          <w:p>
            <w:pPr>
              <w:spacing w:after="0"/>
              <w:rPr>
                <w:sz w:val="1"/>
                <w:szCs w:val="1"/>
                <w:color w:val="auto"/>
              </w:rPr>
            </w:pPr>
          </w:p>
        </w:tc>
      </w:tr>
      <w:tr>
        <w:trPr>
          <w:trHeight w:val="202"/>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Prepaid expenses and other current assets</w:t>
            </w:r>
          </w:p>
        </w:tc>
        <w:tc>
          <w:tcPr>
            <w:tcW w:w="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89,025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76,414</w:t>
            </w:r>
          </w:p>
        </w:tc>
        <w:tc>
          <w:tcPr>
            <w:tcW w:w="0" w:type="dxa"/>
            <w:vAlign w:val="bottom"/>
          </w:tcPr>
          <w:p>
            <w:pPr>
              <w:spacing w:after="0"/>
              <w:rPr>
                <w:sz w:val="1"/>
                <w:szCs w:val="1"/>
                <w:color w:val="auto"/>
              </w:rPr>
            </w:pPr>
          </w:p>
        </w:tc>
      </w:tr>
      <w:tr>
        <w:trPr>
          <w:trHeight w:val="196"/>
        </w:trPr>
        <w:tc>
          <w:tcPr>
            <w:tcW w:w="7280" w:type="dxa"/>
            <w:vAlign w:val="bottom"/>
            <w:gridSpan w:val="2"/>
          </w:tcPr>
          <w:p>
            <w:pPr>
              <w:ind w:left="360"/>
              <w:spacing w:after="0"/>
              <w:rPr>
                <w:sz w:val="20"/>
                <w:szCs w:val="20"/>
                <w:color w:val="auto"/>
              </w:rPr>
            </w:pPr>
            <w:r>
              <w:rPr>
                <w:rFonts w:ascii="Arial" w:cs="Arial" w:eastAsia="Arial" w:hAnsi="Arial"/>
                <w:sz w:val="15"/>
                <w:szCs w:val="15"/>
                <w:color w:val="auto"/>
              </w:rPr>
              <w:t>Total current assets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1,868,036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2,080,382</w:t>
            </w:r>
          </w:p>
        </w:tc>
        <w:tc>
          <w:tcPr>
            <w:tcW w:w="0" w:type="dxa"/>
            <w:vAlign w:val="bottom"/>
          </w:tcPr>
          <w:p>
            <w:pPr>
              <w:spacing w:after="0"/>
              <w:rPr>
                <w:sz w:val="1"/>
                <w:szCs w:val="1"/>
                <w:color w:val="auto"/>
              </w:rPr>
            </w:pPr>
          </w:p>
        </w:tc>
      </w:tr>
      <w:tr>
        <w:trPr>
          <w:trHeight w:val="159"/>
        </w:trPr>
        <w:tc>
          <w:tcPr>
            <w:tcW w:w="728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5"/>
                <w:szCs w:val="15"/>
                <w:color w:val="auto"/>
              </w:rPr>
              <w:t>Property and equipment, at cost, less accumulated depreciation and amortization of $881,841 and</w:t>
            </w:r>
          </w:p>
        </w:tc>
        <w:tc>
          <w:tcPr>
            <w:tcW w:w="42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133,036</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ind w:left="360"/>
              <w:spacing w:after="0"/>
              <w:rPr>
                <w:sz w:val="20"/>
                <w:szCs w:val="20"/>
                <w:color w:val="auto"/>
              </w:rPr>
            </w:pPr>
            <w:r>
              <w:rPr>
                <w:rFonts w:ascii="Arial" w:cs="Arial" w:eastAsia="Arial" w:hAnsi="Arial"/>
                <w:sz w:val="15"/>
                <w:szCs w:val="15"/>
                <w:color w:val="auto"/>
              </w:rPr>
              <w:t>$842,861</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139,276</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right of use assets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390,758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445,847</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322,836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351,093</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Goodwill</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764,428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754,521</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tax assets and income taxes receivable</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236,792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181,996</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Other noncurrent assets</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65,241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61,273</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assets</w:t>
            </w:r>
          </w:p>
        </w:tc>
        <w:tc>
          <w:tcPr>
            <w:tcW w:w="420" w:type="dxa"/>
            <w:vAlign w:val="bottom"/>
            <w:shd w:val="clear" w:color="auto" w:fill="CCEEFF"/>
          </w:tcPr>
          <w:p>
            <w:pPr>
              <w:jc w:val="right"/>
              <w:ind w:right="244"/>
              <w:spacing w:after="0"/>
              <w:rPr>
                <w:sz w:val="20"/>
                <w:szCs w:val="20"/>
                <w:color w:val="auto"/>
              </w:rPr>
            </w:pPr>
            <w:r>
              <w:rPr>
                <w:rFonts w:ascii="Arial" w:cs="Arial" w:eastAsia="Arial" w:hAnsi="Arial"/>
                <w:sz w:val="15"/>
                <w:szCs w:val="15"/>
                <w:b w:val="1"/>
                <w:bCs w:val="1"/>
                <w:color w:val="auto"/>
                <w:w w:val="95"/>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3,781,127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4,014,388</w:t>
            </w:r>
          </w:p>
        </w:tc>
        <w:tc>
          <w:tcPr>
            <w:tcW w:w="0" w:type="dxa"/>
            <w:vAlign w:val="bottom"/>
          </w:tcPr>
          <w:p>
            <w:pPr>
              <w:spacing w:after="0"/>
              <w:rPr>
                <w:sz w:val="1"/>
                <w:szCs w:val="1"/>
                <w:color w:val="auto"/>
              </w:rPr>
            </w:pPr>
          </w:p>
        </w:tc>
      </w:tr>
      <w:tr>
        <w:trPr>
          <w:trHeight w:val="182"/>
        </w:trPr>
        <w:tc>
          <w:tcPr>
            <w:tcW w:w="7280" w:type="dxa"/>
            <w:vAlign w:val="bottom"/>
            <w:gridSpan w:val="2"/>
          </w:tcPr>
          <w:p>
            <w:pPr>
              <w:ind w:left="1960"/>
              <w:spacing w:after="0"/>
              <w:rPr>
                <w:sz w:val="20"/>
                <w:szCs w:val="20"/>
                <w:color w:val="auto"/>
              </w:rPr>
            </w:pPr>
            <w:r>
              <w:rPr>
                <w:rFonts w:ascii="Arial" w:cs="Arial" w:eastAsia="Arial" w:hAnsi="Arial"/>
                <w:sz w:val="15"/>
                <w:szCs w:val="15"/>
                <w:b w:val="1"/>
                <w:bCs w:val="1"/>
                <w:color w:val="auto"/>
              </w:rPr>
              <w:t>LIABILITIES AND STOCKHOLDERS' EQUITY</w:t>
            </w:r>
          </w:p>
        </w:tc>
        <w:tc>
          <w:tcPr>
            <w:tcW w:w="4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Accounts payable and accrued expenses</w:t>
            </w:r>
          </w:p>
        </w:tc>
        <w:tc>
          <w:tcPr>
            <w:tcW w:w="420" w:type="dxa"/>
            <w:vAlign w:val="bottom"/>
          </w:tcPr>
          <w:p>
            <w:pPr>
              <w:jc w:val="right"/>
              <w:ind w:right="244"/>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225,708</w:t>
            </w:r>
          </w:p>
        </w:tc>
        <w:tc>
          <w:tcPr>
            <w:tcW w:w="2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tcPr>
          <w:p>
            <w:pPr>
              <w:jc w:val="right"/>
              <w:spacing w:after="0"/>
              <w:rPr>
                <w:sz w:val="20"/>
                <w:szCs w:val="20"/>
                <w:color w:val="auto"/>
              </w:rPr>
            </w:pPr>
            <w:r>
              <w:rPr>
                <w:rFonts w:ascii="Arial" w:cs="Arial" w:eastAsia="Arial" w:hAnsi="Arial"/>
                <w:sz w:val="15"/>
                <w:szCs w:val="15"/>
                <w:color w:val="auto"/>
              </w:rPr>
              <w:t>164,269</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Accrued salaries, wages and payroll taxes</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227,075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168,989</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Accrued income taxes and reserves for uncertain tax positions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337,363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238,863</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Current portion of long-term debt</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499,395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Operating lease liabilities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187,263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214,190</w:t>
            </w:r>
          </w:p>
        </w:tc>
        <w:tc>
          <w:tcPr>
            <w:tcW w:w="0" w:type="dxa"/>
            <w:vAlign w:val="bottom"/>
          </w:tcPr>
          <w:p>
            <w:pPr>
              <w:spacing w:after="0"/>
              <w:rPr>
                <w:sz w:val="1"/>
                <w:szCs w:val="1"/>
                <w:color w:val="auto"/>
              </w:rPr>
            </w:pPr>
          </w:p>
        </w:tc>
      </w:tr>
      <w:tr>
        <w:trPr>
          <w:trHeight w:val="202"/>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Deferred revenue and other current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216,073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196,175</w:t>
            </w:r>
          </w:p>
        </w:tc>
        <w:tc>
          <w:tcPr>
            <w:tcW w:w="0" w:type="dxa"/>
            <w:vAlign w:val="bottom"/>
          </w:tcPr>
          <w:p>
            <w:pPr>
              <w:spacing w:after="0"/>
              <w:rPr>
                <w:sz w:val="1"/>
                <w:szCs w:val="1"/>
                <w:color w:val="auto"/>
              </w:rPr>
            </w:pPr>
          </w:p>
        </w:tc>
      </w:tr>
      <w:tr>
        <w:trPr>
          <w:trHeight w:val="196"/>
        </w:trPr>
        <w:tc>
          <w:tcPr>
            <w:tcW w:w="7280" w:type="dxa"/>
            <w:vAlign w:val="bottom"/>
            <w:gridSpan w:val="2"/>
          </w:tcPr>
          <w:p>
            <w:pPr>
              <w:ind w:left="360"/>
              <w:spacing w:after="0"/>
              <w:rPr>
                <w:sz w:val="20"/>
                <w:szCs w:val="20"/>
                <w:color w:val="auto"/>
              </w:rPr>
            </w:pPr>
            <w:r>
              <w:rPr>
                <w:rFonts w:ascii="Arial" w:cs="Arial" w:eastAsia="Arial" w:hAnsi="Arial"/>
                <w:sz w:val="15"/>
                <w:szCs w:val="15"/>
                <w:color w:val="auto"/>
              </w:rPr>
              <w:t>Total current liabilities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1,692,877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982,486</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Long-term debt</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1,486,530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1,983,719</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4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218,461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301,658</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Operating lease liabilities</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210,866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244,932</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Deferred revenue and other noncurrent liabilities</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127,537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113,535</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3,736,271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3,626,330</w:t>
            </w:r>
          </w:p>
        </w:tc>
        <w:tc>
          <w:tcPr>
            <w:tcW w:w="0" w:type="dxa"/>
            <w:vAlign w:val="bottom"/>
          </w:tcPr>
          <w:p>
            <w:pPr>
              <w:spacing w:after="0"/>
              <w:rPr>
                <w:sz w:val="1"/>
                <w:szCs w:val="1"/>
                <w:color w:val="auto"/>
              </w:rPr>
            </w:pPr>
          </w:p>
        </w:tc>
      </w:tr>
      <w:tr>
        <w:trPr>
          <w:trHeight w:val="182"/>
        </w:trPr>
        <w:tc>
          <w:tcPr>
            <w:tcW w:w="7280" w:type="dxa"/>
            <w:vAlign w:val="bottom"/>
            <w:gridSpan w:val="2"/>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280" w:type="dxa"/>
            <w:vAlign w:val="bottom"/>
            <w:gridSpan w:val="2"/>
          </w:tcPr>
          <w:p>
            <w:pPr>
              <w:ind w:left="100"/>
              <w:spacing w:after="0" w:line="159" w:lineRule="exact"/>
              <w:rPr>
                <w:sz w:val="20"/>
                <w:szCs w:val="20"/>
                <w:color w:val="auto"/>
              </w:rPr>
            </w:pPr>
            <w:r>
              <w:rPr>
                <w:rFonts w:ascii="Arial" w:cs="Arial" w:eastAsia="Arial" w:hAnsi="Arial"/>
                <w:sz w:val="15"/>
                <w:szCs w:val="15"/>
                <w:color w:val="auto"/>
              </w:rPr>
              <w:t>Common stock, no par, stated value $0.01 per share, 800,000,000 shares authorized, shares issued of</w:t>
            </w:r>
          </w:p>
        </w:tc>
        <w:tc>
          <w:tcPr>
            <w:tcW w:w="4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1,936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280" w:type="dxa"/>
            <w:vAlign w:val="bottom"/>
            <w:gridSpan w:val="2"/>
          </w:tcPr>
          <w:p>
            <w:pPr>
              <w:ind w:left="260"/>
              <w:spacing w:after="0"/>
              <w:rPr>
                <w:sz w:val="20"/>
                <w:szCs w:val="20"/>
                <w:color w:val="auto"/>
              </w:rPr>
            </w:pPr>
            <w:r>
              <w:rPr>
                <w:rFonts w:ascii="Arial" w:cs="Arial" w:eastAsia="Arial" w:hAnsi="Arial"/>
                <w:sz w:val="15"/>
                <w:szCs w:val="15"/>
                <w:color w:val="auto"/>
              </w:rPr>
              <w:t>193,571,309 and 216,655,616</w:t>
            </w:r>
          </w:p>
        </w:tc>
        <w:tc>
          <w:tcPr>
            <w:tcW w:w="4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2,167</w:t>
            </w:r>
          </w:p>
        </w:tc>
        <w:tc>
          <w:tcPr>
            <w:tcW w:w="0" w:type="dxa"/>
            <w:vAlign w:val="bottom"/>
          </w:tcPr>
          <w:p>
            <w:pPr>
              <w:spacing w:after="0"/>
              <w:rPr>
                <w:sz w:val="1"/>
                <w:szCs w:val="1"/>
                <w:color w:val="auto"/>
              </w:rPr>
            </w:pPr>
          </w:p>
        </w:tc>
      </w:tr>
      <w:tr>
        <w:trPr>
          <w:trHeight w:val="207"/>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Additional paid-in capital</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767,869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779,465</w:t>
            </w:r>
          </w:p>
        </w:tc>
        <w:tc>
          <w:tcPr>
            <w:tcW w:w="0" w:type="dxa"/>
            <w:vAlign w:val="bottom"/>
          </w:tcPr>
          <w:p>
            <w:pPr>
              <w:spacing w:after="0"/>
              <w:rPr>
                <w:sz w:val="1"/>
                <w:szCs w:val="1"/>
                <w:color w:val="auto"/>
              </w:rPr>
            </w:pPr>
          </w:p>
        </w:tc>
      </w:tr>
      <w:tr>
        <w:trPr>
          <w:trHeight w:val="202"/>
        </w:trPr>
        <w:tc>
          <w:tcPr>
            <w:tcW w:w="7280" w:type="dxa"/>
            <w:vAlign w:val="bottom"/>
            <w:gridSpan w:val="2"/>
          </w:tcPr>
          <w:p>
            <w:pPr>
              <w:ind w:left="100"/>
              <w:spacing w:after="0"/>
              <w:rPr>
                <w:sz w:val="20"/>
                <w:szCs w:val="20"/>
                <w:color w:val="auto"/>
              </w:rPr>
            </w:pPr>
            <w:r>
              <w:rPr>
                <w:rFonts w:ascii="Arial" w:cs="Arial" w:eastAsia="Arial" w:hAnsi="Arial"/>
                <w:sz w:val="15"/>
                <w:szCs w:val="15"/>
                <w:color w:val="auto"/>
              </w:rPr>
              <w:t>Accumulated other comprehensive income (loss)</w:t>
            </w:r>
          </w:p>
        </w:tc>
        <w:tc>
          <w:tcPr>
            <w:tcW w:w="42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b w:val="1"/>
                <w:bCs w:val="1"/>
                <w:color w:val="auto"/>
              </w:rPr>
              <w:t>(3,838)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3"/>
        </w:trPr>
        <w:tc>
          <w:tcPr>
            <w:tcW w:w="72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Retained earnings (deficit)</w:t>
            </w: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(56,790)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286,694</w:t>
            </w:r>
          </w:p>
        </w:tc>
        <w:tc>
          <w:tcPr>
            <w:tcW w:w="0" w:type="dxa"/>
            <w:vAlign w:val="bottom"/>
          </w:tcPr>
          <w:p>
            <w:pPr>
              <w:spacing w:after="0"/>
              <w:rPr>
                <w:sz w:val="1"/>
                <w:szCs w:val="1"/>
                <w:color w:val="auto"/>
              </w:rPr>
            </w:pPr>
          </w:p>
        </w:tc>
      </w:tr>
      <w:tr>
        <w:trPr>
          <w:trHeight w:val="202"/>
        </w:trPr>
        <w:tc>
          <w:tcPr>
            <w:tcW w:w="7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Less treasury shares, at cost, of 33,978,937 and 34,842,125</w:t>
            </w:r>
          </w:p>
        </w:tc>
        <w:tc>
          <w:tcPr>
            <w:tcW w:w="4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(664,321)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(680,356)</w:t>
            </w:r>
          </w:p>
        </w:tc>
        <w:tc>
          <w:tcPr>
            <w:tcW w:w="0" w:type="dxa"/>
            <w:vAlign w:val="bottom"/>
          </w:tcPr>
          <w:p>
            <w:pPr>
              <w:spacing w:after="0"/>
              <w:rPr>
                <w:sz w:val="1"/>
                <w:szCs w:val="1"/>
                <w:color w:val="auto"/>
              </w:rPr>
            </w:pPr>
          </w:p>
        </w:tc>
      </w:tr>
      <w:tr>
        <w:trPr>
          <w:trHeight w:val="196"/>
        </w:trPr>
        <w:tc>
          <w:tcPr>
            <w:tcW w:w="72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Total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44,856</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388,058</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auto"/>
            </w:tcBorders>
            <w:gridSpan w:val="2"/>
          </w:tcPr>
          <w:p>
            <w:pPr>
              <w:ind w:left="560"/>
              <w:spacing w:after="0"/>
              <w:rPr>
                <w:sz w:val="20"/>
                <w:szCs w:val="20"/>
                <w:color w:val="auto"/>
              </w:rPr>
            </w:pPr>
            <w:r>
              <w:rPr>
                <w:rFonts w:ascii="Arial" w:cs="Arial" w:eastAsia="Arial" w:hAnsi="Arial"/>
                <w:sz w:val="15"/>
                <w:szCs w:val="15"/>
                <w:color w:val="auto"/>
              </w:rPr>
              <w:t>Total liabilities and stockholders' equity</w:t>
            </w: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b w:val="1"/>
                <w:bCs w:val="1"/>
                <w:color w:val="auto"/>
                <w:w w:val="95"/>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3,781,127</w:t>
            </w: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4,014,388</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222885"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hanging="237"/>
        <w:spacing w:after="0"/>
        <w:tabs>
          <w:tab w:leader="none" w:pos="380" w:val="left"/>
        </w:tabs>
        <w:numPr>
          <w:ilvl w:val="0"/>
          <w:numId w:val="3"/>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7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auto"/>
              </w:rPr>
              <w:t>CONSOLIDATED STATEMENTS OF CASH FLOWS</w:t>
            </w:r>
          </w:p>
        </w:tc>
        <w:tc>
          <w:tcPr>
            <w:tcW w:w="5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(unaudited, in 000s)</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Nine months ended March 31,</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09"/>
        </w:trPr>
        <w:tc>
          <w:tcPr>
            <w:tcW w:w="76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330,971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440,240</w:t>
            </w:r>
          </w:p>
        </w:tc>
      </w:tr>
      <w:tr>
        <w:trPr>
          <w:trHeight w:val="213"/>
        </w:trPr>
        <w:tc>
          <w:tcPr>
            <w:tcW w:w="7720" w:type="dxa"/>
            <w:vAlign w:val="bottom"/>
            <w:gridSpan w:val="2"/>
          </w:tcPr>
          <w:p>
            <w:pPr>
              <w:ind w:left="2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5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117,037</w:t>
            </w:r>
          </w:p>
        </w:tc>
      </w:tr>
      <w:tr>
        <w:trPr>
          <w:trHeight w:val="215"/>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Provision</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59,778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60,428</w:t>
            </w:r>
          </w:p>
        </w:tc>
      </w:tr>
      <w:tr>
        <w:trPr>
          <w:trHeight w:val="21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Deferred taxes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(85,122)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5,763</w:t>
            </w:r>
          </w:p>
        </w:tc>
      </w:tr>
      <w:tr>
        <w:trPr>
          <w:trHeight w:val="215"/>
        </w:trPr>
        <w:tc>
          <w:tcPr>
            <w:tcW w:w="7720" w:type="dxa"/>
            <w:vAlign w:val="bottom"/>
            <w:gridSpan w:val="2"/>
          </w:tcPr>
          <w:p>
            <w:pPr>
              <w:ind w:left="340"/>
              <w:spacing w:after="0"/>
              <w:rPr>
                <w:sz w:val="20"/>
                <w:szCs w:val="20"/>
                <w:color w:val="auto"/>
              </w:rPr>
            </w:pPr>
            <w:r>
              <w:rPr>
                <w:rFonts w:ascii="Arial" w:cs="Arial" w:eastAsia="Arial" w:hAnsi="Arial"/>
                <w:sz w:val="16"/>
                <w:szCs w:val="16"/>
                <w:color w:val="auto"/>
              </w:rPr>
              <w:t>Stock-based compensation</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19,988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21,232</w:t>
            </w:r>
          </w:p>
        </w:tc>
      </w:tr>
      <w:tr>
        <w:trPr>
          <w:trHeight w:val="217"/>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Changes in assets and liabilities, net of acquisitions: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5"/>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Receivables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(233,362)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(336,868)</w:t>
            </w:r>
          </w:p>
        </w:tc>
      </w:tr>
      <w:tr>
        <w:trPr>
          <w:trHeight w:val="217"/>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expenses, other current and noncurrent assets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(37,054)</w:t>
            </w:r>
          </w:p>
        </w:tc>
      </w:tr>
      <w:tr>
        <w:trPr>
          <w:trHeight w:val="215"/>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122,112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257,034</w:t>
            </w:r>
          </w:p>
        </w:tc>
      </w:tr>
      <w:tr>
        <w:trPr>
          <w:trHeight w:val="217"/>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Deferred revenue, other current and noncurrent liabilities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36,960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30,783</w:t>
            </w:r>
          </w:p>
        </w:tc>
      </w:tr>
      <w:tr>
        <w:trPr>
          <w:trHeight w:val="215"/>
        </w:trPr>
        <w:tc>
          <w:tcPr>
            <w:tcW w:w="7720" w:type="dxa"/>
            <w:vAlign w:val="bottom"/>
            <w:gridSpan w:val="2"/>
          </w:tcPr>
          <w:p>
            <w:pPr>
              <w:ind w:left="46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36,244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(52,516)</w:t>
            </w:r>
          </w:p>
        </w:tc>
      </w:tr>
      <w:tr>
        <w:trPr>
          <w:trHeight w:val="216"/>
        </w:trPr>
        <w:tc>
          <w:tcPr>
            <w:tcW w:w="77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(5,378)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(4,723)</w:t>
            </w:r>
          </w:p>
        </w:tc>
      </w:tr>
      <w:tr>
        <w:trPr>
          <w:trHeight w:val="210"/>
        </w:trPr>
        <w:tc>
          <w:tcPr>
            <w:tcW w:w="7720" w:type="dxa"/>
            <w:vAlign w:val="bottom"/>
            <w:tcBorders>
              <w:bottom w:val="single" w:sz="8" w:color="CCEEFF"/>
            </w:tcBorders>
            <w:gridSpan w:val="2"/>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373,128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501,356</w:t>
            </w:r>
          </w:p>
        </w:tc>
      </w:tr>
      <w:tr>
        <w:trPr>
          <w:trHeight w:val="19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(52,718)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(44,220)</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made for business acquisitions, net of cash acquired</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(25,465)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(15,495)</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Franchise loans funded</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(18,468)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(26,745)</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from franchisees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17,714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28,477</w:t>
            </w:r>
          </w:p>
        </w:tc>
      </w:tr>
      <w:tr>
        <w:trPr>
          <w:trHeight w:val="215"/>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7,969</w:t>
            </w:r>
          </w:p>
        </w:tc>
      </w:tr>
      <w:tr>
        <w:trPr>
          <w:trHeight w:val="210"/>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investing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(71,106)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(50,014)</w:t>
            </w: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of line of credit borrowings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(705,000)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(3,275,000)</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line of credit borrowings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705,000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1,275,000</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of long-term debt</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5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647,965</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(147,887)</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Repurchase of common stock, including shares surrendered</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(555,247)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(188,892)</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r>
      <w:tr>
        <w:trPr>
          <w:trHeight w:val="215"/>
        </w:trPr>
        <w:tc>
          <w:tcPr>
            <w:tcW w:w="7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(19,680)</w:t>
            </w:r>
          </w:p>
        </w:tc>
      </w:tr>
      <w:tr>
        <w:trPr>
          <w:trHeight w:val="210"/>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used in financing activities</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(2,356,266)</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6"/>
                <w:szCs w:val="16"/>
                <w:color w:val="auto"/>
              </w:rPr>
              <w:t>Effects of exchange rate changes on cash</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(1,666)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10,370</w:t>
            </w:r>
          </w:p>
        </w:tc>
      </w:tr>
      <w:tr>
        <w:trPr>
          <w:trHeight w:val="217"/>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(407,110)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(1,894,554)</w:t>
            </w:r>
          </w:p>
        </w:tc>
      </w:tr>
      <w:tr>
        <w:trPr>
          <w:trHeight w:val="215"/>
        </w:trPr>
        <w:tc>
          <w:tcPr>
            <w:tcW w:w="7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1,584,164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2,769,947</w:t>
            </w:r>
          </w:p>
        </w:tc>
      </w:tr>
      <w:tr>
        <w:trPr>
          <w:trHeight w:val="210"/>
        </w:trPr>
        <w:tc>
          <w:tcPr>
            <w:tcW w:w="7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1,177,054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875,393</w:t>
            </w:r>
          </w:p>
        </w:tc>
      </w:tr>
      <w:tr>
        <w:trPr>
          <w:trHeight w:val="195"/>
        </w:trPr>
        <w:tc>
          <w:tcPr>
            <w:tcW w:w="772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SUPPLEMENTARY CASH FLOW DATA:</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paid, net of refunds received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76,894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100,118</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Interest paid on borrowings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58,009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77,398</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additions to property and equipment</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15"/>
        </w:trPr>
        <w:tc>
          <w:tcPr>
            <w:tcW w:w="7720" w:type="dxa"/>
            <w:vAlign w:val="bottom"/>
            <w:gridSpan w:val="2"/>
          </w:tcPr>
          <w:p>
            <w:pPr>
              <w:ind w:left="140"/>
              <w:spacing w:after="0"/>
              <w:rPr>
                <w:sz w:val="20"/>
                <w:szCs w:val="20"/>
                <w:color w:val="auto"/>
              </w:rPr>
            </w:pPr>
            <w:r>
              <w:rPr>
                <w:rFonts w:ascii="Arial" w:cs="Arial" w:eastAsia="Arial" w:hAnsi="Arial"/>
                <w:sz w:val="16"/>
                <w:szCs w:val="16"/>
                <w:color w:val="auto"/>
              </w:rPr>
              <w:t>New operating right of use assets and related lease liabilities</w:t>
            </w:r>
          </w:p>
        </w:tc>
        <w:tc>
          <w:tcPr>
            <w:tcW w:w="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126,726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94,260</w:t>
            </w:r>
          </w:p>
        </w:tc>
      </w:tr>
      <w:tr>
        <w:trPr>
          <w:trHeight w:val="217"/>
        </w:trPr>
        <w:tc>
          <w:tcPr>
            <w:tcW w:w="7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Accrued dividends payable to common shareholders</w:t>
            </w: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43,041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47,181</w:t>
            </w:r>
          </w:p>
        </w:tc>
      </w:tr>
      <w:tr>
        <w:trPr>
          <w:trHeight w:val="54"/>
        </w:trPr>
        <w:tc>
          <w:tcPr>
            <w:tcW w:w="7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bl>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2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FY2022 Form 10-Q</w:t>
      </w:r>
      <w:r>
        <w:rPr>
          <w:sz w:val="20"/>
          <w:szCs w:val="20"/>
          <w:color w:val="auto"/>
        </w:rPr>
        <w:tab/>
      </w:r>
      <w:r>
        <w:rPr>
          <w:rFonts w:ascii="Arial" w:cs="Arial" w:eastAsia="Arial" w:hAnsi="Arial"/>
          <w:sz w:val="14"/>
          <w:szCs w:val="14"/>
          <w:color w:val="FFFFFF"/>
          <w:highlight w:val="black"/>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CONSOLIDATED STATEMENTS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318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auto"/>
              </w:rPr>
              <w:t>EQUITY</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spacing w:after="0" w:line="135" w:lineRule="exact"/>
              <w:rPr>
                <w:sz w:val="20"/>
                <w:szCs w:val="20"/>
                <w:color w:val="auto"/>
              </w:rPr>
            </w:pPr>
            <w:r>
              <w:rPr>
                <w:rFonts w:ascii="Arial" w:cs="Arial" w:eastAsia="Arial" w:hAnsi="Arial"/>
                <w:sz w:val="14"/>
                <w:szCs w:val="14"/>
                <w:color w:val="auto"/>
              </w:rPr>
              <w:t>(amounts in 000s, except</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auto"/>
            </w:tcBorders>
            <w:gridSpan w:val="2"/>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187"/>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8"/>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color w:val="auto"/>
              </w:rPr>
              <w:t>Income (Loss)</w:t>
            </w:r>
            <w:r>
              <w:rPr>
                <w:rFonts w:ascii="Arial" w:cs="Arial" w:eastAsia="Arial" w:hAnsi="Arial"/>
                <w:sz w:val="18"/>
                <w:szCs w:val="18"/>
                <w:color w:val="auto"/>
                <w:vertAlign w:val="superscript"/>
              </w:rPr>
              <w:t>(1)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216,656</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2,167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779,465</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88</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rPr>
              <w:t>286,694</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(34,842)</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(680,356)</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388,058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(151,601)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(151,601)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(11,177)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(11,177)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5,627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(10,328)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(291)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705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13,765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3,146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(6,802)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(4,081)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(161,619)</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(165,768)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(47,940)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(47,940)</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209,854</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2,099</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770,683</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(11,089)</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(74,757)</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(34,342)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(671,408)</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15,528</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(190,605)</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(190,605)</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1,656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1,656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5,640</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(1,709)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472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(52)</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(6,589)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(3,953)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(154,778)</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(158,797)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(46,497)</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(46,497)</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203,265</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2,033</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770,661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(9,433)</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(466,856)</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(34,222)</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(669,060)</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(372,655)</w:t>
            </w:r>
          </w:p>
        </w:tc>
        <w:tc>
          <w:tcPr>
            <w:tcW w:w="0" w:type="dxa"/>
            <w:vAlign w:val="bottom"/>
          </w:tcPr>
          <w:p>
            <w:pPr>
              <w:spacing w:after="0"/>
              <w:rPr>
                <w:sz w:val="1"/>
                <w:szCs w:val="1"/>
                <w:color w:val="auto"/>
              </w:rPr>
            </w:pPr>
          </w:p>
        </w:tc>
      </w:tr>
      <w:tr>
        <w:trPr>
          <w:trHeight w:val="182"/>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673,177</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673,177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5,595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5,595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5,619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5,619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(2,595)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4,771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1,975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(9,694)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(5,816)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(219,868)</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(225,781)</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$0.27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(43,042)</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(43,042)</w:t>
            </w:r>
          </w:p>
        </w:tc>
        <w:tc>
          <w:tcPr>
            <w:tcW w:w="0" w:type="dxa"/>
            <w:vAlign w:val="bottom"/>
          </w:tcPr>
          <w:p>
            <w:pPr>
              <w:spacing w:after="0"/>
              <w:rPr>
                <w:sz w:val="1"/>
                <w:szCs w:val="1"/>
                <w:color w:val="auto"/>
              </w:rPr>
            </w:pPr>
          </w:p>
        </w:tc>
      </w:tr>
      <w:tr>
        <w:trPr>
          <w:trHeight w:val="222"/>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193,571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1,936</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767,869</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(3,838)</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(56,790)</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(33,979)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(664,321)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44,856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The balance of our accumulated other comprehensive income (loss) consists of foreign currency translation adjustments.</w:t>
      </w:r>
    </w:p>
    <w:p>
      <w:pPr>
        <w:spacing w:after="0"/>
        <w:rPr>
          <w:rFonts w:ascii="Arial" w:cs="Arial" w:eastAsia="Arial" w:hAnsi="Arial"/>
          <w:sz w:val="16"/>
          <w:szCs w:val="16"/>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Represents shares swapped or surrendered to us in connection with the vesting or exercise of stock-based awards.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15430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hanging="171"/>
        <w:spacing w:after="0"/>
        <w:tabs>
          <w:tab w:leader="none" w:pos="26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vMerge w:val="restart"/>
          </w:tcPr>
          <w:p>
            <w:pPr>
              <w:jc w:val="right"/>
              <w:ind w:right="328"/>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Additional</w:t>
            </w:r>
          </w:p>
        </w:tc>
        <w:tc>
          <w:tcPr>
            <w:tcW w:w="160" w:type="dxa"/>
            <w:vAlign w:val="bottom"/>
          </w:tcPr>
          <w:p>
            <w:pPr>
              <w:spacing w:after="0"/>
              <w:rPr>
                <w:sz w:val="10"/>
                <w:szCs w:val="10"/>
                <w:color w:val="auto"/>
              </w:rPr>
            </w:pPr>
          </w:p>
        </w:tc>
        <w:tc>
          <w:tcPr>
            <w:tcW w:w="118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Other</w:t>
            </w:r>
          </w:p>
        </w:tc>
        <w:tc>
          <w:tcPr>
            <w:tcW w:w="180" w:type="dxa"/>
            <w:vAlign w:val="bottom"/>
          </w:tcPr>
          <w:p>
            <w:pPr>
              <w:spacing w:after="0"/>
              <w:rPr>
                <w:sz w:val="10"/>
                <w:szCs w:val="10"/>
                <w:color w:val="auto"/>
              </w:rPr>
            </w:pPr>
          </w:p>
        </w:tc>
        <w:tc>
          <w:tcPr>
            <w:tcW w:w="820" w:type="dxa"/>
            <w:vAlign w:val="bottom"/>
            <w:gridSpan w:val="2"/>
          </w:tcPr>
          <w:p>
            <w:pPr>
              <w:jc w:val="right"/>
              <w:ind w:right="100"/>
              <w:spacing w:after="0" w:line="110" w:lineRule="exact"/>
              <w:rPr>
                <w:sz w:val="20"/>
                <w:szCs w:val="20"/>
                <w:color w:val="auto"/>
              </w:rPr>
            </w:pPr>
            <w:r>
              <w:rPr>
                <w:rFonts w:ascii="Arial" w:cs="Arial" w:eastAsia="Arial" w:hAnsi="Arial"/>
                <w:sz w:val="12"/>
                <w:szCs w:val="12"/>
                <w:color w:val="auto"/>
              </w:rPr>
              <w:t>Retained</w:t>
            </w:r>
          </w:p>
        </w:tc>
        <w:tc>
          <w:tcPr>
            <w:tcW w:w="18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spacing w:after="0" w:line="110"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1"/>
                <w:szCs w:val="11"/>
                <w:color w:val="auto"/>
              </w:rPr>
            </w:pPr>
          </w:p>
        </w:tc>
        <w:tc>
          <w:tcPr>
            <w:tcW w:w="118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Comprehensive</w:t>
            </w:r>
          </w:p>
        </w:tc>
        <w:tc>
          <w:tcPr>
            <w:tcW w:w="180" w:type="dxa"/>
            <w:vAlign w:val="bottom"/>
          </w:tcPr>
          <w:p>
            <w:pPr>
              <w:spacing w:after="0"/>
              <w:rPr>
                <w:sz w:val="11"/>
                <w:szCs w:val="11"/>
                <w:color w:val="auto"/>
              </w:rPr>
            </w:pPr>
          </w:p>
        </w:tc>
        <w:tc>
          <w:tcPr>
            <w:tcW w:w="82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Earnings</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Shares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100" w:type="dxa"/>
            <w:vAlign w:val="bottom"/>
            <w:vMerge w:val="restart"/>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4"/>
                <w:szCs w:val="14"/>
                <w:color w:val="auto"/>
              </w:rPr>
              <w:t>Income (Loss)</w:t>
            </w:r>
            <w:r>
              <w:rPr>
                <w:rFonts w:ascii="Arial" w:cs="Arial" w:eastAsia="Arial" w:hAnsi="Arial"/>
                <w:sz w:val="18"/>
                <w:szCs w:val="18"/>
                <w:color w:val="auto"/>
                <w:vertAlign w:val="superscript"/>
              </w:rPr>
              <w:t>(1)</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Balances as of July 1, 2020</w:t>
            </w:r>
          </w:p>
        </w:tc>
        <w:tc>
          <w:tcPr>
            <w:tcW w:w="860" w:type="dxa"/>
            <w:vAlign w:val="bottom"/>
          </w:tcPr>
          <w:p>
            <w:pPr>
              <w:jc w:val="right"/>
              <w:spacing w:after="0"/>
              <w:rPr>
                <w:sz w:val="20"/>
                <w:szCs w:val="20"/>
                <w:color w:val="auto"/>
              </w:rPr>
            </w:pPr>
            <w:r>
              <w:rPr>
                <w:rFonts w:ascii="Arial" w:cs="Arial" w:eastAsia="Arial" w:hAnsi="Arial"/>
                <w:sz w:val="14"/>
                <w:szCs w:val="14"/>
                <w:color w:val="auto"/>
              </w:rPr>
              <w:t>228,207</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772,943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(39,781)</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(18,455)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(35,478)</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(692,187)</w:t>
            </w:r>
          </w:p>
        </w:tc>
        <w:tc>
          <w:tcPr>
            <w:tcW w:w="10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24,802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(62,256)</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8,816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(5,957)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(84,884)</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(88,458)</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(50,154)</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222,250</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774,075</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(30,965)</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(216,385)</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(688,607)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(159,660)</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(255,751)</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(255,751)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21,982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21,982</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(3,531)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(59,566)</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(61,684)</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(47,689)</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(47,689)</w:t>
            </w:r>
          </w:p>
        </w:tc>
        <w:tc>
          <w:tcPr>
            <w:tcW w:w="0" w:type="dxa"/>
            <w:vAlign w:val="bottom"/>
          </w:tcPr>
          <w:p>
            <w:pPr>
              <w:spacing w:after="0"/>
              <w:rPr>
                <w:sz w:val="1"/>
                <w:szCs w:val="1"/>
                <w:color w:val="auto"/>
              </w:rPr>
            </w:pPr>
          </w:p>
        </w:tc>
      </w:tr>
      <w:tr>
        <w:trPr>
          <w:trHeight w:val="183"/>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218,719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2,187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777,039</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(8,983)</w:t>
            </w:r>
          </w:p>
        </w:tc>
        <w:tc>
          <w:tcPr>
            <w:tcW w:w="8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(579,611)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(35,300)</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(688,507)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(497,875)</w:t>
            </w:r>
          </w:p>
        </w:tc>
        <w:tc>
          <w:tcPr>
            <w:tcW w:w="0" w:type="dxa"/>
            <w:vAlign w:val="bottom"/>
          </w:tcPr>
          <w:p>
            <w:pPr>
              <w:spacing w:after="0"/>
              <w:rPr>
                <w:sz w:val="1"/>
                <w:szCs w:val="1"/>
                <w:color w:val="auto"/>
              </w:rPr>
            </w:pPr>
          </w:p>
        </w:tc>
      </w:tr>
      <w:tr>
        <w:trPr>
          <w:trHeight w:val="183"/>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758,247</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758,247</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3,955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6,943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6,943</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Stock-based awards exercised or vested</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Acquisition of treasury shares</w:t>
            </w:r>
            <w:r>
              <w:rPr>
                <w:rFonts w:ascii="Arial" w:cs="Arial" w:eastAsia="Arial" w:hAnsi="Arial"/>
                <w:sz w:val="18"/>
                <w:szCs w:val="18"/>
                <w:color w:val="auto"/>
                <w:vertAlign w:val="superscript"/>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Repurchase and retirement of common shares</w:t>
            </w:r>
          </w:p>
        </w:tc>
        <w:tc>
          <w:tcPr>
            <w:tcW w:w="860" w:type="dxa"/>
            <w:vAlign w:val="bottom"/>
          </w:tcPr>
          <w:p>
            <w:pPr>
              <w:jc w:val="right"/>
              <w:spacing w:after="0"/>
              <w:rPr>
                <w:sz w:val="20"/>
                <w:szCs w:val="20"/>
                <w:color w:val="auto"/>
              </w:rPr>
            </w:pPr>
            <w:r>
              <w:rPr>
                <w:rFonts w:ascii="Arial" w:cs="Arial" w:eastAsia="Arial" w:hAnsi="Arial"/>
                <w:sz w:val="14"/>
                <w:szCs w:val="14"/>
                <w:color w:val="auto"/>
              </w:rPr>
              <w:t>(2,063)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(36,832)</w:t>
            </w:r>
          </w:p>
        </w:tc>
        <w:tc>
          <w:tcPr>
            <w:tcW w:w="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(38,071)</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 declared - $0.26 per share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(47,181)</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(47,181)</w:t>
            </w:r>
          </w:p>
        </w:tc>
        <w:tc>
          <w:tcPr>
            <w:tcW w:w="0" w:type="dxa"/>
            <w:vAlign w:val="bottom"/>
          </w:tcPr>
          <w:p>
            <w:pPr>
              <w:spacing w:after="0"/>
              <w:rPr>
                <w:sz w:val="1"/>
                <w:szCs w:val="1"/>
                <w:color w:val="auto"/>
              </w:rPr>
            </w:pPr>
          </w:p>
        </w:tc>
      </w:tr>
      <w:tr>
        <w:trPr>
          <w:trHeight w:val="221"/>
        </w:trPr>
        <w:tc>
          <w:tcPr>
            <w:tcW w:w="3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Balances as of March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216,656</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781,692</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(5,028)</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94,409</w:t>
            </w:r>
          </w:p>
        </w:tc>
        <w:tc>
          <w:tcPr>
            <w:tcW w:w="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(35,191)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(686,372)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186,868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8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balance of our accumulated other comprehensive income (loss) consists of foreign currency translation adjustments.</w:t>
      </w:r>
    </w:p>
    <w:p>
      <w:pPr>
        <w:spacing w:after="0" w:line="1" w:lineRule="exact"/>
        <w:rPr>
          <w:rFonts w:ascii="Arial" w:cs="Arial" w:eastAsia="Arial" w:hAnsi="Arial"/>
          <w:sz w:val="9"/>
          <w:szCs w:val="9"/>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shares swapped or surrendered to us in connection with the vesting or exercise of stock-based awards.</w:t>
      </w:r>
    </w:p>
    <w:p>
      <w:pPr>
        <w:spacing w:after="0" w:line="109"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700405</wp:posOffset>
            </wp:positionV>
            <wp:extent cx="16319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7280" w:val="left"/>
        </w:tabs>
        <w:rPr>
          <w:sz w:val="20"/>
          <w:szCs w:val="20"/>
          <w:color w:val="auto"/>
        </w:rPr>
      </w:pPr>
      <w:r>
        <w:rPr>
          <w:rFonts w:ascii="Arial" w:cs="Arial" w:eastAsia="Arial" w:hAnsi="Arial"/>
          <w:sz w:val="25"/>
          <w:szCs w:val="25"/>
          <w:b w:val="1"/>
          <w:bCs w:val="1"/>
          <w:color w:val="14AA40"/>
        </w:rPr>
        <w:t>NOTES TO CONSOLIDATED FINANCIAL STATEMENTS</w:t>
      </w:r>
      <w:r>
        <w:rPr>
          <w:sz w:val="20"/>
          <w:szCs w:val="20"/>
          <w:color w:val="auto"/>
        </w:rPr>
        <w:tab/>
      </w:r>
      <w:r>
        <w:rPr>
          <w:rFonts w:ascii="Arial" w:cs="Arial" w:eastAsia="Arial" w:hAnsi="Arial"/>
          <w:sz w:val="21"/>
          <w:szCs w:val="21"/>
          <w:color w:val="auto"/>
        </w:rPr>
        <w:t>(unaudited)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1: SUMMARY OF SIGNIFICANT ACCOUNTING POLICIES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March 31, 2022 and June 30, 2021, the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comprehensive income for the three and nine months ended March 31, 2022 and 2021, the consolidated statements of cash flows for the nine months ended March 31, 2022 and 2021, and the consolidated statements of stockholders' equity for the three and nine months ended March 31, 2022 and 2021 have been prepared by the Company, without audit. In the opinion of management, all adjustments, which include only normal recurring adjustments, necessary to present fairly the financial position, results of operations, and cash flows as of March 31, 2022 and 2021 and for all periods presented, have been made.</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"H&amp;R Block," "the Company," "we," "our," and "us" are used interchangeably to refer to H&amp;R Block, Inc., to H&amp;R Block, Inc. and its subsidiaries, or to H&amp;R Block, Inc.'s operating subsidiaries, as appropriate to the context.</w:t>
      </w:r>
    </w:p>
    <w:p>
      <w:pPr>
        <w:spacing w:after="0" w:line="9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On June 9, 2021, the Board of Directors approved a change of the Company's fiscal year end from April 30 to June 30. The Company's 2022 fiscal year began on July 1, 2021 and will end on June 30, 2022. As a result of this change, the Company filed a Transition Report on Form 10-Q that included the financial information for the transition period from May 1, 2021 to June 30, 2021 (Transition Period). 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2021 Annual Report to Shareholders on Form 10-K and our June 30, 2021 Transition Report filed on Form 10-Q.</w:t>
      </w:r>
    </w:p>
    <w:p>
      <w:pPr>
        <w:spacing w:after="0" w:line="7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w:t>
      </w:r>
    </w:p>
    <w:p>
      <w:pPr>
        <w:spacing w:after="0" w:line="75"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6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On March 21, 2020, the federal tax filing deadline in the U.S. for individual 2019 tax returns was extended from April 15, 2020 to July 15, 2020, shifting a portion of revenues and expenses from that tax season into the nine months ended March 31, 2021. This extension impacted the typical seasonality of our business and the comparability of our financial results.</w:t>
      </w:r>
    </w:p>
    <w:p>
      <w:pPr>
        <w:spacing w:after="0" w:line="72" w:lineRule="exact"/>
        <w:rPr>
          <w:sz w:val="20"/>
          <w:szCs w:val="20"/>
          <w:color w:val="auto"/>
        </w:rPr>
      </w:pPr>
    </w:p>
    <w:p>
      <w:pPr>
        <w:jc w:val="both"/>
        <w:ind w:firstLine="202"/>
        <w:spacing w:after="0" w:line="268" w:lineRule="auto"/>
        <w:rPr>
          <w:rFonts w:ascii="Arial" w:cs="Arial" w:eastAsia="Arial" w:hAnsi="Arial"/>
          <w:sz w:val="18"/>
          <w:szCs w:val="18"/>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as Option One Mortgage Corporation (including its subsidiaries, collectively, SCC), which exited its mortgage business in fiscal year 2008. See </w:t>
      </w:r>
      <w:hyperlink w:anchor="page16">
        <w:r>
          <w:rPr>
            <w:rFonts w:ascii="Arial" w:cs="Arial" w:eastAsia="Arial" w:hAnsi="Arial"/>
            <w:sz w:val="18"/>
            <w:szCs w:val="18"/>
            <w:u w:val="single" w:color="auto"/>
            <w:color w:val="0000FF"/>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litigation, claims, and other loss contingencies related to our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628650</wp:posOffset>
            </wp:positionV>
            <wp:extent cx="21463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223"/>
        <w:spacing w:after="0"/>
        <w:tabs>
          <w:tab w:leader="none" w:pos="360" w:val="left"/>
        </w:tabs>
        <w:numPr>
          <w:ilvl w:val="0"/>
          <w:numId w:val="7"/>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2: REVENUE RECOGNITION</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5"/>
          </w:tcPr>
          <w:p>
            <w:pPr>
              <w:ind w:left="240"/>
              <w:spacing w:after="0"/>
              <w:rPr>
                <w:sz w:val="20"/>
                <w:szCs w:val="20"/>
                <w:color w:val="auto"/>
              </w:rPr>
            </w:pPr>
            <w:r>
              <w:rPr>
                <w:rFonts w:ascii="Arial" w:cs="Arial" w:eastAsia="Arial" w:hAnsi="Arial"/>
                <w:sz w:val="16"/>
                <w:szCs w:val="16"/>
                <w:color w:val="auto"/>
              </w:rPr>
              <w:t>Three months ended March 31,</w:t>
            </w:r>
          </w:p>
        </w:tc>
        <w:tc>
          <w:tcPr>
            <w:tcW w:w="340" w:type="dxa"/>
            <w:vAlign w:val="bottom"/>
          </w:tcPr>
          <w:p>
            <w:pPr>
              <w:spacing w:after="0"/>
              <w:rPr>
                <w:sz w:val="17"/>
                <w:szCs w:val="17"/>
                <w:color w:val="auto"/>
              </w:rPr>
            </w:pPr>
          </w:p>
        </w:tc>
        <w:tc>
          <w:tcPr>
            <w:tcW w:w="2920" w:type="dxa"/>
            <w:vAlign w:val="bottom"/>
            <w:gridSpan w:val="4"/>
          </w:tcPr>
          <w:p>
            <w:pPr>
              <w:jc w:val="right"/>
              <w:ind w:right="460"/>
              <w:spacing w:after="0"/>
              <w:rPr>
                <w:sz w:val="20"/>
                <w:szCs w:val="20"/>
                <w:color w:val="auto"/>
              </w:rPr>
            </w:pPr>
            <w:r>
              <w:rPr>
                <w:rFonts w:ascii="Arial" w:cs="Arial" w:eastAsia="Arial" w:hAnsi="Arial"/>
                <w:sz w:val="16"/>
                <w:szCs w:val="16"/>
                <w:color w:val="auto"/>
              </w:rPr>
              <w:t>Nine months ended March 31,</w:t>
            </w:r>
          </w:p>
        </w:tc>
      </w:tr>
      <w:tr>
        <w:trPr>
          <w:trHeight w:val="212"/>
        </w:trPr>
        <w:tc>
          <w:tcPr>
            <w:tcW w:w="4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07"/>
        </w:trPr>
        <w:tc>
          <w:tcPr>
            <w:tcW w:w="444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1,392,142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1,456,594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1,532,079</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158,786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150,117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169,548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178,126</w:t>
            </w:r>
          </w:p>
        </w:tc>
      </w:tr>
      <w:tr>
        <w:trPr>
          <w:trHeight w:val="217"/>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175,184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188,455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234,871</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65,232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62,869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151,464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148,282</w:t>
            </w:r>
          </w:p>
        </w:tc>
      </w:tr>
      <w:tr>
        <w:trPr>
          <w:trHeight w:val="217"/>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132,223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134,799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134,665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141,309</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50,660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73,647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103,748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96,045</w:t>
            </w:r>
          </w:p>
        </w:tc>
      </w:tr>
      <w:tr>
        <w:trPr>
          <w:trHeight w:val="217"/>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17,222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63,430</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9,078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19,431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22,446</w:t>
            </w:r>
          </w:p>
        </w:tc>
      </w:tr>
      <w:tr>
        <w:trPr>
          <w:trHeight w:val="217"/>
        </w:trPr>
        <w:tc>
          <w:tcPr>
            <w:tcW w:w="444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30,535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52,812</w:t>
            </w:r>
          </w:p>
        </w:tc>
      </w:tr>
      <w:tr>
        <w:trPr>
          <w:trHeight w:val="215"/>
        </w:trPr>
        <w:tc>
          <w:tcPr>
            <w:tcW w:w="444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20,111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58,745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44,656</w:t>
            </w:r>
          </w:p>
        </w:tc>
      </w:tr>
      <w:tr>
        <w:trPr>
          <w:trHeight w:val="216"/>
        </w:trPr>
        <w:tc>
          <w:tcPr>
            <w:tcW w:w="4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10,584</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27,736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28,819</w:t>
            </w:r>
          </w:p>
        </w:tc>
      </w:tr>
      <w:tr>
        <w:trPr>
          <w:trHeight w:val="249"/>
        </w:trPr>
        <w:tc>
          <w:tcPr>
            <w:tcW w:w="4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2,061,757</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1,983,564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2,413,197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2,542,875</w:t>
            </w:r>
          </w:p>
        </w:tc>
      </w:tr>
      <w:tr>
        <w:trPr>
          <w:trHeight w:val="20"/>
        </w:trPr>
        <w:tc>
          <w:tcPr>
            <w:tcW w:w="43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Revenue</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Deferred Wages</w:t>
            </w:r>
          </w:p>
        </w:tc>
      </w:tr>
      <w:tr>
        <w:trPr>
          <w:trHeight w:val="209"/>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March 31,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10"/>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Balances as of July 1,</w:t>
            </w: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172,759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167,827</w:t>
            </w:r>
          </w:p>
        </w:tc>
        <w:tc>
          <w:tcPr>
            <w:tcW w:w="120" w:type="dxa"/>
            <w:vAlign w:val="bottom"/>
          </w:tcPr>
          <w:p>
            <w:pPr>
              <w:spacing w:after="0"/>
              <w:rPr>
                <w:sz w:val="18"/>
                <w:szCs w:val="18"/>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17,867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18,707</w:t>
            </w:r>
          </w:p>
        </w:tc>
      </w:tr>
      <w:tr>
        <w:trPr>
          <w:trHeight w:val="21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Amounts deferred</w:t>
            </w: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80,801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87,175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w:t>
            </w:r>
          </w:p>
        </w:tc>
      </w:tr>
      <w:tr>
        <w:trPr>
          <w:trHeight w:val="215"/>
        </w:trPr>
        <w:tc>
          <w:tcPr>
            <w:tcW w:w="4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Amounts recognized on previous deferrals</w:t>
            </w: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(69,075)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(73,683)</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(8,068)</w:t>
            </w:r>
          </w:p>
        </w:tc>
      </w:tr>
      <w:tr>
        <w:trPr>
          <w:trHeight w:val="21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March 31,</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184,485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181,319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20,087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19,351</w:t>
            </w:r>
          </w:p>
        </w:tc>
      </w:tr>
      <w:tr>
        <w:trPr>
          <w:trHeight w:val="34"/>
        </w:trPr>
        <w:tc>
          <w:tcPr>
            <w:tcW w:w="4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As of March 31, 2022, deferred revenue related to POM was $ 184.5 million. We expect that $101.2 million will be recognized over the next twelve months, while the remaining balance will be recognized over the following five years.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March 31, 2022 and 2021, Tax Identity Shield® (TIS) deferred revenue was $37.4 million and $38.2 million, respectively. Deferred revenue related to TIS was $28.3 million and $28.8 million as of June 30, 2021 and June 30, 2020, respectively. All deferred revenue related to TIS will be recognized by April 2023.</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3: EARNINGS PER SHARE AND STOCKHOLDERS' EQUITY</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Basic and diluted earnings (loss) per share is computed using the two-class method. The two-class method is an</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0.3 million and 0.6 million shares for the three and nine months ended March 31, 2022, respectively, and 0.6 million and 0.9 million shares for the three and nine months ended March 31, 2021, respectively, as the effect would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636270</wp:posOffset>
            </wp:positionV>
            <wp:extent cx="22288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sz w:val="20"/>
          <w:szCs w:val="20"/>
          <w:color w:val="auto"/>
        </w:rPr>
        <w:tab/>
      </w:r>
      <w:r>
        <w:rPr>
          <w:rFonts w:ascii="Arial" w:cs="Arial" w:eastAsia="Arial" w:hAnsi="Arial"/>
          <w:sz w:val="14"/>
          <w:szCs w:val="14"/>
          <w:color w:val="FFFFFF"/>
          <w:highlight w:val="black"/>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earnings per share from continuing operations are as follows:</w:t>
      </w:r>
    </w:p>
    <w:p>
      <w:pPr>
        <w:spacing w:after="0" w:line="150"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5"/>
          </w:tcPr>
          <w:p>
            <w:pPr>
              <w:ind w:left="200"/>
              <w:spacing w:after="0"/>
              <w:rPr>
                <w:sz w:val="20"/>
                <w:szCs w:val="20"/>
                <w:color w:val="auto"/>
              </w:rPr>
            </w:pPr>
            <w:r>
              <w:rPr>
                <w:rFonts w:ascii="Arial" w:cs="Arial" w:eastAsia="Arial" w:hAnsi="Arial"/>
                <w:sz w:val="16"/>
                <w:szCs w:val="16"/>
                <w:color w:val="auto"/>
              </w:rPr>
              <w:t>Three months ended March 31,</w:t>
            </w:r>
          </w:p>
        </w:tc>
        <w:tc>
          <w:tcPr>
            <w:tcW w:w="34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4"/>
          </w:tcPr>
          <w:p>
            <w:pPr>
              <w:jc w:val="right"/>
              <w:ind w:right="479"/>
              <w:spacing w:after="0"/>
              <w:rPr>
                <w:sz w:val="20"/>
                <w:szCs w:val="20"/>
                <w:color w:val="auto"/>
              </w:rPr>
            </w:pPr>
            <w:r>
              <w:rPr>
                <w:rFonts w:ascii="Arial" w:cs="Arial" w:eastAsia="Arial" w:hAnsi="Arial"/>
                <w:sz w:val="16"/>
                <w:szCs w:val="16"/>
                <w:color w:val="auto"/>
              </w:rPr>
              <w:t>Nine months ended March 31,</w:t>
            </w:r>
          </w:p>
        </w:tc>
        <w:tc>
          <w:tcPr>
            <w:tcW w:w="0" w:type="dxa"/>
            <w:vAlign w:val="bottom"/>
          </w:tcPr>
          <w:p>
            <w:pPr>
              <w:spacing w:after="0"/>
              <w:rPr>
                <w:sz w:val="1"/>
                <w:szCs w:val="1"/>
                <w:color w:val="auto"/>
              </w:rPr>
            </w:pPr>
          </w:p>
        </w:tc>
      </w:tr>
      <w:tr>
        <w:trPr>
          <w:trHeight w:val="211"/>
        </w:trPr>
        <w:tc>
          <w:tcPr>
            <w:tcW w:w="45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159"/>
        </w:trPr>
        <w:tc>
          <w:tcPr>
            <w:tcW w:w="4580" w:type="dxa"/>
            <w:vAlign w:val="bottom"/>
          </w:tcPr>
          <w:p>
            <w:pPr>
              <w:ind w:left="20"/>
              <w:spacing w:after="0" w:line="159" w:lineRule="exact"/>
              <w:rPr>
                <w:sz w:val="20"/>
                <w:szCs w:val="20"/>
                <w:color w:val="auto"/>
              </w:rPr>
            </w:pPr>
            <w:r>
              <w:rPr>
                <w:rFonts w:ascii="Arial" w:cs="Arial" w:eastAsia="Arial" w:hAnsi="Arial"/>
                <w:sz w:val="16"/>
                <w:szCs w:val="16"/>
                <w:color w:val="auto"/>
              </w:rPr>
              <w:t>Net income from continuing operations attributable to</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674,973</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335,955</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80"/>
              <w:spacing w:after="0"/>
              <w:rPr>
                <w:sz w:val="20"/>
                <w:szCs w:val="20"/>
                <w:color w:val="auto"/>
              </w:rPr>
            </w:pPr>
            <w:r>
              <w:rPr>
                <w:rFonts w:ascii="Arial" w:cs="Arial" w:eastAsia="Arial" w:hAnsi="Arial"/>
                <w:sz w:val="16"/>
                <w:szCs w:val="16"/>
                <w:color w:val="auto"/>
              </w:rPr>
              <w:t>shareholders</w:t>
            </w:r>
          </w:p>
        </w:tc>
        <w:tc>
          <w:tcPr>
            <w:tcW w:w="30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759,672</w:t>
            </w:r>
          </w:p>
        </w:tc>
        <w:tc>
          <w:tcPr>
            <w:tcW w:w="1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444,773</w:t>
            </w: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to participating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(3,061)</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157"/>
        </w:trPr>
        <w:tc>
          <w:tcPr>
            <w:tcW w:w="4580" w:type="dxa"/>
            <w:vAlign w:val="bottom"/>
          </w:tcPr>
          <w:p>
            <w:pPr>
              <w:ind w:left="20"/>
              <w:spacing w:after="0" w:line="158" w:lineRule="exact"/>
              <w:rPr>
                <w:sz w:val="20"/>
                <w:szCs w:val="20"/>
                <w:color w:val="auto"/>
              </w:rPr>
            </w:pPr>
            <w:r>
              <w:rPr>
                <w:rFonts w:ascii="Arial" w:cs="Arial" w:eastAsia="Arial" w:hAnsi="Arial"/>
                <w:sz w:val="16"/>
                <w:szCs w:val="16"/>
                <w:color w:val="auto"/>
              </w:rPr>
              <w:t>Net income from continuing operations attributable to</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671,912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334,412</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common shareholders</w:t>
            </w:r>
          </w:p>
        </w:tc>
        <w:tc>
          <w:tcPr>
            <w:tcW w:w="30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756,298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442,865</w:t>
            </w:r>
          </w:p>
        </w:tc>
        <w:tc>
          <w:tcPr>
            <w:tcW w:w="0" w:type="dxa"/>
            <w:vAlign w:val="bottom"/>
          </w:tcPr>
          <w:p>
            <w:pPr>
              <w:spacing w:after="0"/>
              <w:rPr>
                <w:sz w:val="1"/>
                <w:szCs w:val="1"/>
                <w:color w:val="auto"/>
              </w:rPr>
            </w:pPr>
          </w:p>
        </w:tc>
      </w:tr>
      <w:tr>
        <w:trPr>
          <w:trHeight w:val="213"/>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162,777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182,204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171,481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186,162</w:t>
            </w:r>
          </w:p>
        </w:tc>
        <w:tc>
          <w:tcPr>
            <w:tcW w:w="0" w:type="dxa"/>
            <w:vAlign w:val="bottom"/>
          </w:tcPr>
          <w:p>
            <w:pPr>
              <w:spacing w:after="0"/>
              <w:rPr>
                <w:sz w:val="1"/>
                <w:szCs w:val="1"/>
                <w:color w:val="auto"/>
              </w:rPr>
            </w:pP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Potential dilutive shares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2,835</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2,661</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weighted average common shares</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165,612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184,905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174,142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188,133</w:t>
            </w:r>
          </w:p>
        </w:tc>
        <w:tc>
          <w:tcPr>
            <w:tcW w:w="0" w:type="dxa"/>
            <w:vAlign w:val="bottom"/>
          </w:tcPr>
          <w:p>
            <w:pPr>
              <w:spacing w:after="0"/>
              <w:rPr>
                <w:sz w:val="1"/>
                <w:szCs w:val="1"/>
                <w:color w:val="auto"/>
              </w:rPr>
            </w:pPr>
          </w:p>
        </w:tc>
      </w:tr>
      <w:tr>
        <w:trPr>
          <w:trHeight w:val="157"/>
        </w:trPr>
        <w:tc>
          <w:tcPr>
            <w:tcW w:w="4580" w:type="dxa"/>
            <w:vAlign w:val="bottom"/>
          </w:tcPr>
          <w:p>
            <w:pPr>
              <w:ind w:left="20"/>
              <w:spacing w:after="0" w:line="158" w:lineRule="exact"/>
              <w:rPr>
                <w:sz w:val="20"/>
                <w:szCs w:val="20"/>
                <w:color w:val="auto"/>
              </w:rPr>
            </w:pPr>
            <w:r>
              <w:rPr>
                <w:rFonts w:ascii="Arial" w:cs="Arial" w:eastAsia="Arial" w:hAnsi="Arial"/>
                <w:sz w:val="16"/>
                <w:szCs w:val="16"/>
                <w:color w:val="auto"/>
              </w:rPr>
              <w:t>Earnings per share from continuing operations attributable to</w:t>
            </w:r>
          </w:p>
        </w:tc>
        <w:tc>
          <w:tcPr>
            <w:tcW w:w="3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180"/>
              <w:spacing w:after="0"/>
              <w:rPr>
                <w:sz w:val="20"/>
                <w:szCs w:val="20"/>
                <w:color w:val="auto"/>
              </w:rPr>
            </w:pPr>
            <w:r>
              <w:rPr>
                <w:rFonts w:ascii="Arial" w:cs="Arial" w:eastAsia="Arial" w:hAnsi="Arial"/>
                <w:sz w:val="16"/>
                <w:szCs w:val="16"/>
                <w:color w:val="auto"/>
              </w:rPr>
              <w:t>common shareholders:</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4.06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decrease in the weighted average shares outstanding is due to share repurchases completed in the current and prior fiscal years.</w:t>
      </w:r>
    </w:p>
    <w:p>
      <w:pPr>
        <w:spacing w:after="0" w:line="9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nine months ended March 31, 2022, we granted 1.6 million shares under our stock-based compensation plan. We granted awards of 0.7 million shares under our stock-based compensation plans during the nine months ended March 31, 2021. The increase in shares granted compared to the prior year is a result of the change in timing of grants due to the change in our fiscal year. Stock-based compensation expense of our continuing operations totaled $6.8 million and $20.0 million for the three and nine months ended March 31, 2022, respectively, and $7.8 million and $21.2 million for the three and nine months ended March 31, 2021, respectively. As of March 31, 2022, unrecognized compensation cost for stock options totaled $0.5 million, and for nonvested shares and units totaled $44.9 million.</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4: RECEIVABLES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 2022</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color w:val="auto"/>
              </w:rPr>
              <w:t>June 30, 2021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Short-term</w:t>
            </w:r>
          </w:p>
        </w:tc>
        <w:tc>
          <w:tcPr>
            <w:tcW w:w="72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color w:val="auto"/>
              </w:rPr>
              <w:t>Long-term</w:t>
            </w:r>
          </w:p>
        </w:tc>
        <w:tc>
          <w:tcPr>
            <w:tcW w:w="500" w:type="dxa"/>
            <w:vAlign w:val="bottom"/>
          </w:tcPr>
          <w:p>
            <w:pPr>
              <w:spacing w:after="0"/>
              <w:rPr>
                <w:sz w:val="18"/>
                <w:szCs w:val="18"/>
                <w:color w:val="auto"/>
              </w:rPr>
            </w:pPr>
          </w:p>
        </w:tc>
        <w:tc>
          <w:tcPr>
            <w:tcW w:w="1280" w:type="dxa"/>
            <w:vAlign w:val="bottom"/>
            <w:gridSpan w:val="2"/>
          </w:tcPr>
          <w:p>
            <w:pPr>
              <w:ind w:left="380"/>
              <w:spacing w:after="0"/>
              <w:rPr>
                <w:sz w:val="20"/>
                <w:szCs w:val="20"/>
                <w:color w:val="auto"/>
              </w:rPr>
            </w:pPr>
            <w:r>
              <w:rPr>
                <w:rFonts w:ascii="Arial" w:cs="Arial" w:eastAsia="Arial" w:hAnsi="Arial"/>
                <w:sz w:val="16"/>
                <w:szCs w:val="16"/>
                <w:color w:val="auto"/>
              </w:rPr>
              <w:t>Short-term</w:t>
            </w: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12"/>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Loans to franchisees</w:t>
            </w:r>
          </w:p>
        </w:tc>
        <w:tc>
          <w:tcPr>
            <w:tcW w:w="5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14,499</w:t>
            </w: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26,411</w:t>
            </w:r>
          </w:p>
        </w:tc>
        <w:tc>
          <w:tcPr>
            <w:tcW w:w="120" w:type="dxa"/>
            <w:vAlign w:val="bottom"/>
          </w:tcPr>
          <w:p>
            <w:pPr>
              <w:spacing w:after="0"/>
              <w:rPr>
                <w:sz w:val="18"/>
                <w:szCs w:val="18"/>
                <w:color w:val="auto"/>
              </w:rPr>
            </w:pP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9,497</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28,026</w:t>
            </w:r>
          </w:p>
        </w:tc>
        <w:tc>
          <w:tcPr>
            <w:tcW w:w="0" w:type="dxa"/>
            <w:vAlign w:val="bottom"/>
          </w:tcPr>
          <w:p>
            <w:pPr>
              <w:spacing w:after="0"/>
              <w:rPr>
                <w:sz w:val="1"/>
                <w:szCs w:val="1"/>
                <w:color w:val="auto"/>
              </w:rPr>
            </w:pPr>
          </w:p>
        </w:tc>
      </w:tr>
      <w:tr>
        <w:trPr>
          <w:trHeight w:val="178"/>
        </w:trPr>
        <w:tc>
          <w:tcPr>
            <w:tcW w:w="42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Receivables for U.S. assisted and DIY tax preparation</w:t>
            </w:r>
          </w:p>
        </w:tc>
        <w:tc>
          <w:tcPr>
            <w:tcW w:w="5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120,483</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3,215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and related fees</w:t>
            </w:r>
          </w:p>
        </w:tc>
        <w:tc>
          <w:tcPr>
            <w:tcW w:w="5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41,900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16"/>
        </w:trPr>
        <w:tc>
          <w:tcPr>
            <w:tcW w:w="422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receivables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38,213</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H&amp;R Block Emerald Advance® lines of credit</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8,510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12,775</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8,089</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Software receivables from retailers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9,126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Royalties and other receivables from franchisees</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48,562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15"/>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Wave payment processing receivables</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1,879</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2,187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20,330</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1,212</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15,666</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261,602</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45,258</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88,932</w:t>
            </w:r>
          </w:p>
        </w:tc>
        <w:tc>
          <w:tcPr>
            <w:tcW w:w="12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7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630"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223"/>
        <w:spacing w:after="0"/>
        <w:tabs>
          <w:tab w:leader="none" w:pos="36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8" w:lineRule="exact"/>
        <w:rPr>
          <w:sz w:val="20"/>
          <w:szCs w:val="20"/>
          <w:color w:val="auto"/>
        </w:rPr>
      </w:pPr>
    </w:p>
    <w:p>
      <w:pPr>
        <w:jc w:val="both"/>
        <w:ind w:right="20" w:firstLine="202"/>
        <w:spacing w:after="0" w:line="268"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lines of credit primarily for the purpose of funding working capital needs. As of March 31, 2022 and June 30, 2021, loans with a principal balance more than 90 days past due, or on non-accrual status, are not material.</w:t>
      </w:r>
    </w:p>
    <w:p>
      <w:pPr>
        <w:spacing w:after="0" w:line="63" w:lineRule="exact"/>
        <w:rPr>
          <w:sz w:val="20"/>
          <w:szCs w:val="20"/>
          <w:color w:val="auto"/>
        </w:rPr>
      </w:pPr>
    </w:p>
    <w:p>
      <w:pPr>
        <w:jc w:val="both"/>
        <w:ind w:firstLine="202"/>
        <w:spacing w:after="0" w:line="287"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10"/>
          <w:szCs w:val="10"/>
          <w:b w:val="1"/>
          <w:bCs w:val="1"/>
          <w:color w:val="auto"/>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10"/>
          <w:szCs w:val="10"/>
          <w:color w:val="auto"/>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are generally received from the Canada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Agency within 60 days of filing the client's return, with the remaining balance collectible from the client.</w:t>
      </w:r>
    </w:p>
    <w:p>
      <w:pPr>
        <w:spacing w:after="0" w:line="6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tax return year of origination, with older years being deemed more unlikely to be repaid. We establish an allowance for doubtful accounts at an amount that we believe represents the net realizable value. In December of each year we charge-off the receivables to an amount we believe represents the net realizable value.</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Balances and amounts on non-accrual status and classified as impaired, or more than 60 days past due, by tax return year of origination, as of March 31, 2022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Tax return year of origination:</w:t>
            </w:r>
          </w:p>
        </w:tc>
        <w:tc>
          <w:tcPr>
            <w:tcW w:w="8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12"/>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40,565</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1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2020 and prior</w:t>
            </w:r>
          </w:p>
        </w:tc>
        <w:tc>
          <w:tcPr>
            <w:tcW w:w="8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266</w:t>
            </w:r>
          </w:p>
        </w:tc>
      </w:tr>
      <w:tr>
        <w:trPr>
          <w:trHeight w:val="209"/>
        </w:trPr>
        <w:tc>
          <w:tcPr>
            <w:tcW w:w="6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40,831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266</w:t>
            </w:r>
          </w:p>
        </w:tc>
      </w:tr>
      <w:tr>
        <w:trPr>
          <w:trHeight w:val="196"/>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Allowance</w:t>
            </w:r>
          </w:p>
        </w:tc>
        <w:tc>
          <w:tcPr>
            <w:tcW w:w="8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49"/>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39,760</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20"/>
        </w:trPr>
        <w:tc>
          <w:tcPr>
            <w:tcW w:w="66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820" w:type="dxa"/>
            <w:vAlign w:val="bottom"/>
            <w:tcBorders>
              <w:top w:val="single" w:sz="8" w:color="CCEEFF"/>
            </w:tcBorders>
            <w:shd w:val="clear" w:color="auto" w:fill="000000"/>
          </w:tcPr>
          <w:p>
            <w:pPr>
              <w:spacing w:after="0" w:line="20" w:lineRule="exact"/>
              <w:rPr>
                <w:sz w:val="1"/>
                <w:szCs w:val="1"/>
                <w:color w:val="auto"/>
              </w:rPr>
            </w:pPr>
          </w:p>
        </w:tc>
        <w:tc>
          <w:tcPr>
            <w:tcW w:w="13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680" w:type="dxa"/>
            <w:vAlign w:val="bottom"/>
            <w:tcBorders>
              <w:top w:val="single" w:sz="8" w:color="CCEEFF"/>
            </w:tcBorders>
            <w:shd w:val="clear" w:color="auto" w:fill="000000"/>
          </w:tcPr>
          <w:p>
            <w:pPr>
              <w:spacing w:after="0" w:line="20" w:lineRule="exact"/>
              <w:rPr>
                <w:sz w:val="1"/>
                <w:szCs w:val="1"/>
                <w:color w:val="auto"/>
              </w:rPr>
            </w:pPr>
          </w:p>
        </w:tc>
        <w:tc>
          <w:tcPr>
            <w:tcW w:w="1500" w:type="dxa"/>
            <w:vAlign w:val="bottom"/>
            <w:tcBorders>
              <w:top w:val="single" w:sz="8" w:color="CCEEFF"/>
            </w:tcBorders>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both"/>
        <w:ind w:firstLine="243"/>
        <w:spacing w:after="0"/>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18"/>
          <w:szCs w:val="18"/>
          <w:color w:val="auto"/>
        </w:rPr>
        <w:t>®</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(EA) receivables based on pools, which are segregated by the fiscal year of origination, with older years being deemed more unlikely to be repaid. We establish an allowance for doubtful accounts at an amount that we believe represents the net realizable value. In December of each year we charge-off the receivables to an amount we believe represents the net realizable value.</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Balances and amounts on non-accrual status and classified as impaired, or more than 60 days past due, by fiscal year of origination, as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March 31, 2022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6780" w:type="dxa"/>
            <w:vAlign w:val="bottom"/>
            <w:gridSpan w:val="2"/>
          </w:tcPr>
          <w:p>
            <w:pPr>
              <w:ind w:left="20"/>
              <w:spacing w:after="0"/>
              <w:rPr>
                <w:sz w:val="20"/>
                <w:szCs w:val="20"/>
                <w:color w:val="auto"/>
              </w:rPr>
            </w:pPr>
            <w:r>
              <w:rPr>
                <w:rFonts w:ascii="Arial" w:cs="Arial" w:eastAsia="Arial" w:hAnsi="Arial"/>
                <w:sz w:val="16"/>
                <w:szCs w:val="16"/>
                <w:color w:val="auto"/>
              </w:rPr>
              <w:t>Fiscal year of origination:</w:t>
            </w:r>
          </w:p>
        </w:tc>
        <w:tc>
          <w:tcPr>
            <w:tcW w:w="8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Non-Accrual</w:t>
            </w:r>
          </w:p>
        </w:tc>
      </w:tr>
      <w:tr>
        <w:trPr>
          <w:trHeight w:val="212"/>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32,795</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32,795</w:t>
            </w:r>
          </w:p>
        </w:tc>
      </w:tr>
      <w:tr>
        <w:trPr>
          <w:trHeight w:val="217"/>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2021 and prior</w:t>
            </w: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777</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777</w:t>
            </w:r>
          </w:p>
        </w:tc>
      </w:tr>
      <w:tr>
        <w:trPr>
          <w:trHeight w:val="21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Revolving loans</w:t>
            </w:r>
          </w:p>
        </w:tc>
        <w:tc>
          <w:tcPr>
            <w:tcW w:w="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12,837</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12,246</w:t>
            </w:r>
          </w:p>
        </w:tc>
      </w:tr>
      <w:tr>
        <w:trPr>
          <w:trHeight w:val="210"/>
        </w:trPr>
        <w:tc>
          <w:tcPr>
            <w:tcW w:w="6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46,409</w:t>
            </w:r>
          </w:p>
        </w:tc>
        <w:tc>
          <w:tcPr>
            <w:tcW w:w="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45,818</w:t>
            </w:r>
          </w:p>
        </w:tc>
      </w:tr>
      <w:tr>
        <w:trPr>
          <w:trHeight w:val="195"/>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Allowance</w:t>
            </w: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(25,124)</w:t>
            </w: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r>
      <w:tr>
        <w:trPr>
          <w:trHeight w:val="21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balance</w:t>
            </w: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21,285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34"/>
        </w:trPr>
        <w:tc>
          <w:tcPr>
            <w:tcW w:w="6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6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sz w:val="20"/>
          <w:szCs w:val="20"/>
          <w:color w:val="auto"/>
        </w:rPr>
        <w:tab/>
      </w:r>
      <w:r>
        <w:rPr>
          <w:rFonts w:ascii="Arial" w:cs="Arial" w:eastAsia="Arial" w:hAnsi="Arial"/>
          <w:sz w:val="14"/>
          <w:szCs w:val="14"/>
          <w:color w:val="FFFFFF"/>
          <w:highlight w:val="black"/>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202"/>
        <w:spacing w:after="0" w:line="287" w:lineRule="auto"/>
        <w:rPr>
          <w:sz w:val="20"/>
          <w:szCs w:val="20"/>
          <w:color w:val="auto"/>
        </w:rPr>
      </w:pPr>
      <w:r>
        <w:rPr>
          <w:rFonts w:ascii="Arial" w:cs="Arial" w:eastAsia="Arial" w:hAnsi="Arial"/>
          <w:sz w:val="18"/>
          <w:szCs w:val="18"/>
          <w:b w:val="1"/>
          <w:bCs w:val="1"/>
          <w:color w:val="auto"/>
        </w:rPr>
        <w:t xml:space="preserve">ALLOWANCE FOR CREDIT LOSSES </w:t>
      </w:r>
      <w:r>
        <w:rPr>
          <w:rFonts w:ascii="Arial" w:cs="Arial" w:eastAsia="Arial" w:hAnsi="Arial"/>
          <w:sz w:val="18"/>
          <w:szCs w:val="18"/>
          <w:color w:val="auto"/>
        </w:rPr>
        <w:t>– Activity in the allowance for credit losses for our EA and all other short-term and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for the nine months ended March 31, 2022 and 2021 is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6"/>
        </w:trPr>
        <w:tc>
          <w:tcPr>
            <w:tcW w:w="5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EAs</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r>
      <w:tr>
        <w:trPr>
          <w:trHeight w:val="212"/>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2021</w:t>
            </w:r>
          </w:p>
        </w:tc>
        <w:tc>
          <w:tcPr>
            <w:tcW w:w="6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center"/>
              <w:ind w:left="439"/>
              <w:spacing w:after="0"/>
              <w:rPr>
                <w:sz w:val="20"/>
                <w:szCs w:val="20"/>
                <w:color w:val="auto"/>
              </w:rPr>
            </w:pPr>
            <w:r>
              <w:rPr>
                <w:rFonts w:ascii="Arial" w:cs="Arial" w:eastAsia="Arial" w:hAnsi="Arial"/>
                <w:sz w:val="16"/>
                <w:szCs w:val="16"/>
                <w:b w:val="1"/>
                <w:bCs w:val="1"/>
                <w:color w:val="auto"/>
                <w:w w:val="98"/>
              </w:rPr>
              <w:t>27,704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center"/>
              <w:ind w:left="439"/>
              <w:spacing w:after="0"/>
              <w:rPr>
                <w:sz w:val="20"/>
                <w:szCs w:val="20"/>
                <w:color w:val="auto"/>
              </w:rPr>
            </w:pPr>
            <w:r>
              <w:rPr>
                <w:rFonts w:ascii="Arial" w:cs="Arial" w:eastAsia="Arial" w:hAnsi="Arial"/>
                <w:sz w:val="16"/>
                <w:szCs w:val="16"/>
                <w:b w:val="1"/>
                <w:bCs w:val="1"/>
                <w:color w:val="auto"/>
              </w:rPr>
              <w:t>60,272</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center"/>
              <w:ind w:left="440"/>
              <w:spacing w:after="0"/>
              <w:rPr>
                <w:sz w:val="20"/>
                <w:szCs w:val="20"/>
                <w:color w:val="auto"/>
              </w:rPr>
            </w:pPr>
            <w:r>
              <w:rPr>
                <w:rFonts w:ascii="Arial" w:cs="Arial" w:eastAsia="Arial" w:hAnsi="Arial"/>
                <w:sz w:val="16"/>
                <w:szCs w:val="16"/>
                <w:b w:val="1"/>
                <w:bCs w:val="1"/>
                <w:color w:val="auto"/>
              </w:rPr>
              <w:t>87,976</w:t>
            </w:r>
          </w:p>
        </w:tc>
      </w:tr>
      <w:tr>
        <w:trPr>
          <w:trHeight w:val="217"/>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8"/>
              </w:rPr>
              <w:t>13,797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45,981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440"/>
              <w:spacing w:after="0"/>
              <w:rPr>
                <w:sz w:val="20"/>
                <w:szCs w:val="20"/>
                <w:color w:val="auto"/>
              </w:rPr>
            </w:pPr>
            <w:r>
              <w:rPr>
                <w:rFonts w:ascii="Arial" w:cs="Arial" w:eastAsia="Arial" w:hAnsi="Arial"/>
                <w:sz w:val="16"/>
                <w:szCs w:val="16"/>
                <w:b w:val="1"/>
                <w:bCs w:val="1"/>
                <w:color w:val="auto"/>
              </w:rPr>
              <w:t>59,778</w:t>
            </w:r>
          </w:p>
        </w:tc>
      </w:tr>
      <w:tr>
        <w:trPr>
          <w:trHeight w:val="215"/>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(16,377)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(60,343)</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b w:val="1"/>
                <w:bCs w:val="1"/>
                <w:color w:val="auto"/>
              </w:rPr>
              <w:t>(76,720)</w:t>
            </w:r>
          </w:p>
        </w:tc>
      </w:tr>
      <w:tr>
        <w:trPr>
          <w:trHeight w:val="20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March 31, 2022</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b w:val="1"/>
                <w:bCs w:val="1"/>
                <w:color w:val="auto"/>
                <w:w w:val="98"/>
              </w:rPr>
              <w:t>25,124</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b w:val="1"/>
                <w:bCs w:val="1"/>
                <w:color w:val="auto"/>
              </w:rPr>
              <w:t>45,910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center"/>
              <w:ind w:left="440"/>
              <w:spacing w:after="0"/>
              <w:rPr>
                <w:sz w:val="20"/>
                <w:szCs w:val="20"/>
                <w:color w:val="auto"/>
              </w:rPr>
            </w:pPr>
            <w:r>
              <w:rPr>
                <w:rFonts w:ascii="Arial" w:cs="Arial" w:eastAsia="Arial" w:hAnsi="Arial"/>
                <w:sz w:val="16"/>
                <w:szCs w:val="16"/>
                <w:b w:val="1"/>
                <w:bCs w:val="1"/>
                <w:color w:val="auto"/>
              </w:rPr>
              <w:t>71,034</w:t>
            </w:r>
          </w:p>
        </w:tc>
      </w:tr>
      <w:tr>
        <w:trPr>
          <w:trHeight w:val="207"/>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2020</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439"/>
              <w:spacing w:after="0"/>
              <w:rPr>
                <w:sz w:val="20"/>
                <w:szCs w:val="20"/>
                <w:color w:val="auto"/>
              </w:rPr>
            </w:pPr>
            <w:r>
              <w:rPr>
                <w:rFonts w:ascii="Arial" w:cs="Arial" w:eastAsia="Arial" w:hAnsi="Arial"/>
                <w:sz w:val="16"/>
                <w:szCs w:val="16"/>
                <w:color w:val="auto"/>
                <w:w w:val="98"/>
              </w:rPr>
              <w:t>32,034</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left="439"/>
              <w:spacing w:after="0"/>
              <w:rPr>
                <w:sz w:val="20"/>
                <w:szCs w:val="20"/>
                <w:color w:val="auto"/>
              </w:rPr>
            </w:pPr>
            <w:r>
              <w:rPr>
                <w:rFonts w:ascii="Arial" w:cs="Arial" w:eastAsia="Arial" w:hAnsi="Arial"/>
                <w:sz w:val="16"/>
                <w:szCs w:val="16"/>
                <w:color w:val="auto"/>
              </w:rPr>
              <w:t>52,166</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Pr>
          <w:p>
            <w:pPr>
              <w:jc w:val="center"/>
              <w:ind w:left="440"/>
              <w:spacing w:after="0"/>
              <w:rPr>
                <w:sz w:val="20"/>
                <w:szCs w:val="20"/>
                <w:color w:val="auto"/>
              </w:rPr>
            </w:pPr>
            <w:r>
              <w:rPr>
                <w:rFonts w:ascii="Arial" w:cs="Arial" w:eastAsia="Arial" w:hAnsi="Arial"/>
                <w:sz w:val="16"/>
                <w:szCs w:val="16"/>
                <w:color w:val="auto"/>
              </w:rPr>
              <w:t>84,200</w:t>
            </w:r>
          </w:p>
        </w:tc>
      </w:tr>
      <w:tr>
        <w:trPr>
          <w:trHeight w:val="219"/>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w:t>
            </w:r>
          </w:p>
        </w:tc>
        <w:tc>
          <w:tcPr>
            <w:tcW w:w="66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w w:val="98"/>
              </w:rPr>
              <w:t>13,411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39"/>
              <w:spacing w:after="0"/>
              <w:rPr>
                <w:sz w:val="20"/>
                <w:szCs w:val="20"/>
                <w:color w:val="auto"/>
              </w:rPr>
            </w:pPr>
            <w:r>
              <w:rPr>
                <w:rFonts w:ascii="Arial" w:cs="Arial" w:eastAsia="Arial" w:hAnsi="Arial"/>
                <w:sz w:val="16"/>
                <w:szCs w:val="16"/>
                <w:color w:val="auto"/>
              </w:rPr>
              <w:t>47,017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440"/>
              <w:spacing w:after="0"/>
              <w:rPr>
                <w:sz w:val="20"/>
                <w:szCs w:val="20"/>
                <w:color w:val="auto"/>
              </w:rPr>
            </w:pPr>
            <w:r>
              <w:rPr>
                <w:rFonts w:ascii="Arial" w:cs="Arial" w:eastAsia="Arial" w:hAnsi="Arial"/>
                <w:sz w:val="16"/>
                <w:szCs w:val="16"/>
                <w:color w:val="auto"/>
              </w:rPr>
              <w:t>60,428</w:t>
            </w:r>
          </w:p>
        </w:tc>
      </w:tr>
      <w:tr>
        <w:trPr>
          <w:trHeight w:val="213"/>
        </w:trPr>
        <w:tc>
          <w:tcPr>
            <w:tcW w:w="5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Charge-offs, recoveries and other</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(18,650)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color w:val="auto"/>
              </w:rPr>
              <w:t>(54,092)</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left="420"/>
              <w:spacing w:after="0"/>
              <w:rPr>
                <w:sz w:val="20"/>
                <w:szCs w:val="20"/>
                <w:color w:val="auto"/>
              </w:rPr>
            </w:pPr>
            <w:r>
              <w:rPr>
                <w:rFonts w:ascii="Arial" w:cs="Arial" w:eastAsia="Arial" w:hAnsi="Arial"/>
                <w:sz w:val="16"/>
                <w:szCs w:val="16"/>
                <w:color w:val="auto"/>
              </w:rPr>
              <w:t>(72,742)</w:t>
            </w:r>
          </w:p>
        </w:tc>
      </w:tr>
      <w:tr>
        <w:trPr>
          <w:trHeight w:val="213"/>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as of March 31, 2021</w:t>
            </w: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w w:val="98"/>
              </w:rPr>
              <w:t>26,795</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39"/>
              <w:spacing w:after="0"/>
              <w:rPr>
                <w:sz w:val="20"/>
                <w:szCs w:val="20"/>
                <w:color w:val="auto"/>
              </w:rPr>
            </w:pPr>
            <w:r>
              <w:rPr>
                <w:rFonts w:ascii="Arial" w:cs="Arial" w:eastAsia="Arial" w:hAnsi="Arial"/>
                <w:sz w:val="16"/>
                <w:szCs w:val="16"/>
                <w:color w:val="auto"/>
              </w:rPr>
              <w:t>45,091</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center"/>
              <w:ind w:left="440"/>
              <w:spacing w:after="0"/>
              <w:rPr>
                <w:sz w:val="20"/>
                <w:szCs w:val="20"/>
                <w:color w:val="auto"/>
              </w:rPr>
            </w:pPr>
            <w:r>
              <w:rPr>
                <w:rFonts w:ascii="Arial" w:cs="Arial" w:eastAsia="Arial" w:hAnsi="Arial"/>
                <w:sz w:val="16"/>
                <w:szCs w:val="16"/>
                <w:color w:val="auto"/>
              </w:rPr>
              <w:t>71,886</w:t>
            </w:r>
          </w:p>
        </w:tc>
      </w:tr>
      <w:tr>
        <w:trPr>
          <w:trHeight w:val="34"/>
        </w:trPr>
        <w:tc>
          <w:tcPr>
            <w:tcW w:w="5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5: GOODWILL AND INTANGIBLE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March 31, 2022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Accumulated Impairment</w:t>
            </w:r>
          </w:p>
        </w:tc>
        <w:tc>
          <w:tcPr>
            <w:tcW w:w="7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4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Losses</w:t>
            </w: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12"/>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Balances as of July 1, 2021</w:t>
            </w:r>
          </w:p>
        </w:tc>
        <w:tc>
          <w:tcPr>
            <w:tcW w:w="7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892,818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754,521</w:t>
            </w:r>
          </w:p>
        </w:tc>
      </w:tr>
      <w:tr>
        <w:trPr>
          <w:trHeight w:val="217"/>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7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12,667</w:t>
            </w:r>
          </w:p>
        </w:tc>
      </w:tr>
      <w:tr>
        <w:trPr>
          <w:trHeight w:val="215"/>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Disposals and foreign currency changes, net</w:t>
            </w:r>
          </w:p>
        </w:tc>
        <w:tc>
          <w:tcPr>
            <w:tcW w:w="7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(2,760)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(2,760)</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7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1640"/>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49"/>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Balances as of March 31, 2022</w:t>
            </w:r>
          </w:p>
        </w:tc>
        <w:tc>
          <w:tcPr>
            <w:tcW w:w="7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902,725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(138,297)</w:t>
            </w:r>
          </w:p>
        </w:tc>
        <w:tc>
          <w:tcPr>
            <w:tcW w:w="10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764,428</w:t>
            </w:r>
          </w:p>
        </w:tc>
      </w:tr>
      <w:tr>
        <w:trPr>
          <w:trHeight w:val="20"/>
        </w:trPr>
        <w:tc>
          <w:tcPr>
            <w:tcW w:w="47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6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88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74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 conjunction with our annual impairment test, we tested goodwill for impairment during the quarter and did not identify any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21463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60" w:hanging="263"/>
        <w:spacing w:after="0"/>
        <w:tabs>
          <w:tab w:leader="none" w:pos="36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71"/>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71" w:lineRule="exact"/>
              <w:rPr>
                <w:sz w:val="20"/>
                <w:szCs w:val="20"/>
                <w:color w:val="auto"/>
              </w:rPr>
            </w:pPr>
            <w:r>
              <w:rPr>
                <w:rFonts w:ascii="Arial" w:cs="Arial" w:eastAsia="Arial" w:hAnsi="Arial"/>
                <w:sz w:val="16"/>
                <w:szCs w:val="16"/>
                <w:color w:val="auto"/>
              </w:rPr>
              <w:t>Gross</w:t>
            </w:r>
          </w:p>
        </w:tc>
        <w:tc>
          <w:tcPr>
            <w:tcW w:w="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Carrying</w:t>
            </w:r>
          </w:p>
        </w:tc>
        <w:tc>
          <w:tcPr>
            <w:tcW w:w="460" w:type="dxa"/>
            <w:vAlign w:val="bottom"/>
          </w:tcPr>
          <w:p>
            <w:pPr>
              <w:spacing w:after="0"/>
              <w:rPr>
                <w:sz w:val="14"/>
                <w:szCs w:val="14"/>
                <w:color w:val="auto"/>
              </w:rPr>
            </w:pPr>
          </w:p>
        </w:tc>
        <w:tc>
          <w:tcPr>
            <w:tcW w:w="1400" w:type="dxa"/>
            <w:vAlign w:val="bottom"/>
            <w:gridSpan w:val="2"/>
          </w:tcPr>
          <w:p>
            <w:pPr>
              <w:jc w:val="right"/>
              <w:ind w:right="120"/>
              <w:spacing w:after="0" w:line="162" w:lineRule="exact"/>
              <w:rPr>
                <w:sz w:val="20"/>
                <w:szCs w:val="20"/>
                <w:color w:val="auto"/>
              </w:rPr>
            </w:pPr>
            <w:r>
              <w:rPr>
                <w:rFonts w:ascii="Arial" w:cs="Arial" w:eastAsia="Arial" w:hAnsi="Arial"/>
                <w:sz w:val="16"/>
                <w:szCs w:val="16"/>
                <w:color w:val="auto"/>
              </w:rPr>
              <w:t>Accumulated</w:t>
            </w:r>
          </w:p>
        </w:tc>
        <w:tc>
          <w:tcPr>
            <w:tcW w:w="6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8"/>
        </w:trPr>
        <w:tc>
          <w:tcPr>
            <w:tcW w:w="5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Amortization</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Net</w:t>
            </w:r>
          </w:p>
        </w:tc>
      </w:tr>
      <w:tr>
        <w:trPr>
          <w:trHeight w:val="209"/>
        </w:trPr>
        <w:tc>
          <w:tcPr>
            <w:tcW w:w="5720" w:type="dxa"/>
            <w:vAlign w:val="bottom"/>
            <w:gridSpan w:val="2"/>
          </w:tcPr>
          <w:p>
            <w:pPr>
              <w:ind w:left="20"/>
              <w:spacing w:after="0"/>
              <w:rPr>
                <w:sz w:val="20"/>
                <w:szCs w:val="20"/>
                <w:color w:val="auto"/>
              </w:rPr>
            </w:pPr>
            <w:r>
              <w:rPr>
                <w:rFonts w:ascii="Arial" w:cs="Arial" w:eastAsia="Arial" w:hAnsi="Arial"/>
                <w:sz w:val="16"/>
                <w:szCs w:val="16"/>
                <w:color w:val="auto"/>
              </w:rPr>
              <w:t>As of March 31, 2022:</w:t>
            </w: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378,257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(193,589)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184,668</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328,161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(272,947)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55,214</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169,708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(134,990)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34,718</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41,710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(37,231)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4,479</w:t>
            </w:r>
          </w:p>
        </w:tc>
      </w:tr>
      <w:tr>
        <w:trPr>
          <w:trHeight w:val="217"/>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19,201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(17,068)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2,133</w:t>
            </w:r>
          </w:p>
        </w:tc>
      </w:tr>
      <w:tr>
        <w:trPr>
          <w:trHeight w:val="215"/>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122,700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(85,281)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37,419</w:t>
            </w:r>
          </w:p>
        </w:tc>
      </w:tr>
      <w:tr>
        <w:trPr>
          <w:trHeight w:val="216"/>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4,205</w:t>
            </w:r>
          </w:p>
        </w:tc>
      </w:tr>
      <w:tr>
        <w:trPr>
          <w:trHeight w:val="209"/>
        </w:trPr>
        <w:tc>
          <w:tcPr>
            <w:tcW w:w="56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1,065,537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(742,701)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322,836</w:t>
            </w:r>
          </w:p>
        </w:tc>
      </w:tr>
      <w:tr>
        <w:trPr>
          <w:trHeight w:val="197"/>
        </w:trPr>
        <w:tc>
          <w:tcPr>
            <w:tcW w:w="5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370,405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(182,366)</w:t>
            </w:r>
          </w:p>
        </w:tc>
        <w:tc>
          <w:tcPr>
            <w:tcW w:w="100" w:type="dxa"/>
            <w:vAlign w:val="bottom"/>
          </w:tcPr>
          <w:p>
            <w:pPr>
              <w:spacing w:after="0"/>
              <w:rPr>
                <w:sz w:val="18"/>
                <w:szCs w:val="18"/>
                <w:color w:val="auto"/>
              </w:rPr>
            </w:pP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188,039</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61,253</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160,315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(119,460)</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40,855</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r>
      <w:tr>
        <w:trPr>
          <w:trHeight w:val="213"/>
        </w:trPr>
        <w:tc>
          <w:tcPr>
            <w:tcW w:w="5720" w:type="dxa"/>
            <w:vAlign w:val="bottom"/>
            <w:gridSpan w:val="2"/>
          </w:tcPr>
          <w:p>
            <w:pPr>
              <w:ind w:left="14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(16,108)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3,093</w:t>
            </w:r>
          </w:p>
        </w:tc>
      </w:tr>
      <w:tr>
        <w:trPr>
          <w:trHeight w:val="219"/>
        </w:trPr>
        <w:tc>
          <w:tcPr>
            <w:tcW w:w="5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(74,913)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47,787</w:t>
            </w:r>
          </w:p>
        </w:tc>
      </w:tr>
      <w:tr>
        <w:trPr>
          <w:trHeight w:val="213"/>
        </w:trPr>
        <w:tc>
          <w:tcPr>
            <w:tcW w:w="5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Trade name</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4,640</w:t>
            </w:r>
          </w:p>
        </w:tc>
      </w:tr>
      <w:tr>
        <w:trPr>
          <w:trHeight w:val="212"/>
        </w:trPr>
        <w:tc>
          <w:tcPr>
            <w:tcW w:w="5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1,036,196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(685,103)</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351,093</w:t>
            </w:r>
          </w:p>
        </w:tc>
      </w:tr>
      <w:tr>
        <w:trPr>
          <w:trHeight w:val="34"/>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88"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made payments to acquire businesses totaling $ 25.5 million and $ 15.5 million during the nine months ended March 31, 2022 and 2021, respectively. The amounts and weighted-average lives of intangible assets acquired during the nine months ended March 31, 2022, including amounts capitalized related to internally-developed software,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06"/>
        </w:trPr>
        <w:tc>
          <w:tcPr>
            <w:tcW w:w="5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00" w:type="dxa"/>
            <w:vAlign w:val="bottom"/>
          </w:tcPr>
          <w:p>
            <w:pPr>
              <w:spacing w:after="0"/>
              <w:rPr>
                <w:sz w:val="17"/>
                <w:szCs w:val="17"/>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Weighted-Average Life (in years)</w:t>
            </w:r>
          </w:p>
        </w:tc>
      </w:tr>
      <w:tr>
        <w:trPr>
          <w:trHeight w:val="212"/>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Internally-developed software</w:t>
            </w:r>
          </w:p>
        </w:tc>
        <w:tc>
          <w:tcPr>
            <w:tcW w:w="980" w:type="dxa"/>
            <w:vAlign w:val="bottom"/>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9,427</w:t>
            </w:r>
          </w:p>
        </w:tc>
        <w:tc>
          <w:tcPr>
            <w:tcW w:w="100" w:type="dxa"/>
            <w:vAlign w:val="bottom"/>
          </w:tcPr>
          <w:p>
            <w:pPr>
              <w:spacing w:after="0"/>
              <w:rPr>
                <w:sz w:val="18"/>
                <w:szCs w:val="18"/>
                <w:color w:val="auto"/>
              </w:rPr>
            </w:pPr>
          </w:p>
        </w:tc>
        <w:tc>
          <w:tcPr>
            <w:tcW w:w="3000" w:type="dxa"/>
            <w:vAlign w:val="bottom"/>
          </w:tcPr>
          <w:p>
            <w:pPr>
              <w:jc w:val="right"/>
              <w:ind w:right="1382"/>
              <w:spacing w:after="0"/>
              <w:rPr>
                <w:sz w:val="20"/>
                <w:szCs w:val="20"/>
                <w:color w:val="auto"/>
              </w:rPr>
            </w:pPr>
            <w:r>
              <w:rPr>
                <w:rFonts w:ascii="Arial" w:cs="Arial" w:eastAsia="Arial" w:hAnsi="Arial"/>
                <w:sz w:val="16"/>
                <w:szCs w:val="16"/>
                <w:b w:val="1"/>
                <w:bCs w:val="1"/>
                <w:color w:val="auto"/>
              </w:rPr>
              <w:t>3</w:t>
            </w:r>
          </w:p>
        </w:tc>
      </w:tr>
      <w:tr>
        <w:trPr>
          <w:trHeight w:val="217"/>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9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13,029</w:t>
            </w:r>
          </w:p>
        </w:tc>
        <w:tc>
          <w:tcPr>
            <w:tcW w:w="3100" w:type="dxa"/>
            <w:vAlign w:val="bottom"/>
            <w:gridSpan w:val="2"/>
            <w:shd w:val="clear" w:color="auto" w:fill="CCEEFF"/>
          </w:tcPr>
          <w:p>
            <w:pPr>
              <w:jc w:val="right"/>
              <w:ind w:right="1382"/>
              <w:spacing w:after="0"/>
              <w:rPr>
                <w:sz w:val="20"/>
                <w:szCs w:val="20"/>
                <w:color w:val="auto"/>
              </w:rPr>
            </w:pPr>
            <w:r>
              <w:rPr>
                <w:rFonts w:ascii="Arial" w:cs="Arial" w:eastAsia="Arial" w:hAnsi="Arial"/>
                <w:sz w:val="16"/>
                <w:szCs w:val="16"/>
                <w:b w:val="1"/>
                <w:bCs w:val="1"/>
                <w:color w:val="auto"/>
              </w:rPr>
              <w:t>5</w:t>
            </w:r>
          </w:p>
        </w:tc>
      </w:tr>
      <w:tr>
        <w:trPr>
          <w:trHeight w:val="215"/>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Reacquired franchise rights</w:t>
            </w:r>
          </w:p>
        </w:tc>
        <w:tc>
          <w:tcPr>
            <w:tcW w:w="9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8,130</w:t>
            </w:r>
          </w:p>
        </w:tc>
        <w:tc>
          <w:tcPr>
            <w:tcW w:w="3100" w:type="dxa"/>
            <w:vAlign w:val="bottom"/>
            <w:gridSpan w:val="2"/>
          </w:tcPr>
          <w:p>
            <w:pPr>
              <w:jc w:val="right"/>
              <w:ind w:right="1382"/>
              <w:spacing w:after="0"/>
              <w:rPr>
                <w:sz w:val="20"/>
                <w:szCs w:val="20"/>
                <w:color w:val="auto"/>
              </w:rPr>
            </w:pPr>
            <w:r>
              <w:rPr>
                <w:rFonts w:ascii="Arial" w:cs="Arial" w:eastAsia="Arial" w:hAnsi="Arial"/>
                <w:sz w:val="16"/>
                <w:szCs w:val="16"/>
                <w:b w:val="1"/>
                <w:bCs w:val="1"/>
                <w:color w:val="auto"/>
              </w:rPr>
              <w:t>5</w:t>
            </w:r>
          </w:p>
        </w:tc>
      </w:tr>
      <w:tr>
        <w:trPr>
          <w:trHeight w:val="217"/>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Noncompete agreements</w:t>
            </w:r>
          </w:p>
        </w:tc>
        <w:tc>
          <w:tcPr>
            <w:tcW w:w="9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w:t>
            </w:r>
          </w:p>
        </w:tc>
        <w:tc>
          <w:tcPr>
            <w:tcW w:w="3100" w:type="dxa"/>
            <w:vAlign w:val="bottom"/>
            <w:gridSpan w:val="2"/>
            <w:shd w:val="clear" w:color="auto" w:fill="CCEEFF"/>
          </w:tcPr>
          <w:p>
            <w:pPr>
              <w:jc w:val="right"/>
              <w:ind w:right="1382"/>
              <w:spacing w:after="0"/>
              <w:rPr>
                <w:sz w:val="20"/>
                <w:szCs w:val="20"/>
                <w:color w:val="auto"/>
              </w:rPr>
            </w:pPr>
            <w:r>
              <w:rPr>
                <w:rFonts w:ascii="Arial" w:cs="Arial" w:eastAsia="Arial" w:hAnsi="Arial"/>
                <w:sz w:val="16"/>
                <w:szCs w:val="16"/>
                <w:b w:val="1"/>
                <w:bCs w:val="1"/>
                <w:color w:val="auto"/>
              </w:rPr>
              <w:t>5</w:t>
            </w:r>
          </w:p>
        </w:tc>
      </w:tr>
      <w:tr>
        <w:trPr>
          <w:trHeight w:val="248"/>
        </w:trPr>
        <w:tc>
          <w:tcPr>
            <w:tcW w:w="5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31,082</w:t>
            </w:r>
          </w:p>
        </w:tc>
        <w:tc>
          <w:tcPr>
            <w:tcW w:w="3100" w:type="dxa"/>
            <w:vAlign w:val="bottom"/>
            <w:tcBorders>
              <w:bottom w:val="single" w:sz="8" w:color="CCEEFF"/>
            </w:tcBorders>
            <w:gridSpan w:val="2"/>
          </w:tcPr>
          <w:p>
            <w:pPr>
              <w:jc w:val="right"/>
              <w:ind w:right="1382"/>
              <w:spacing w:after="0"/>
              <w:rPr>
                <w:sz w:val="20"/>
                <w:szCs w:val="20"/>
                <w:color w:val="auto"/>
              </w:rPr>
            </w:pPr>
            <w:r>
              <w:rPr>
                <w:rFonts w:ascii="Arial" w:cs="Arial" w:eastAsia="Arial" w:hAnsi="Arial"/>
                <w:sz w:val="16"/>
                <w:szCs w:val="16"/>
                <w:b w:val="1"/>
                <w:bCs w:val="1"/>
                <w:color w:val="auto"/>
              </w:rPr>
              <w:t>4</w:t>
            </w:r>
          </w:p>
        </w:tc>
      </w:tr>
      <w:tr>
        <w:trPr>
          <w:trHeight w:val="20"/>
        </w:trPr>
        <w:tc>
          <w:tcPr>
            <w:tcW w:w="56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4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00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Amortization of intangible assets for the three and nine months ended March 31, 2022 was $19.5 million and $58.7 million, respectively, compared to $20.7 million and $62.1 million for the three and nine months ended March 31, 2021, respectively. Estimated amortization of intangible assets for fiscal years ending June 30, 2022, 2023, 2024, 2025 and 2026 is $77.3 million, $64.2 million, $44.6 million, $23.9 million and $16.3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635635</wp:posOffset>
            </wp:positionV>
            <wp:extent cx="222885"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6: LONG-TERM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r>
      <w:tr>
        <w:trPr>
          <w:trHeight w:val="209"/>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Senior Notes, 5.500%, due November 2022</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5.250%, due October 2025</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r>
      <w:tr>
        <w:trPr>
          <w:trHeight w:val="215"/>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Senior Notes, 2.500%, due July 2028</w:t>
            </w: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1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Senior Notes, 3.875%, due August 2030</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r>
      <w:tr>
        <w:trPr>
          <w:trHeight w:val="215"/>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Debt issuance costs and discounts</w:t>
            </w: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(14,075)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(16,281)</w:t>
            </w:r>
          </w:p>
        </w:tc>
      </w:tr>
      <w:tr>
        <w:trPr>
          <w:trHeight w:val="21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4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1,985,925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1,983,719</w:t>
            </w:r>
          </w:p>
        </w:tc>
      </w:tr>
      <w:tr>
        <w:trPr>
          <w:trHeight w:val="215"/>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Current portion</w:t>
            </w: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(499,395)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portion</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1,486,530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1,983,719</w:t>
            </w:r>
          </w:p>
        </w:tc>
      </w:tr>
      <w:tr>
        <w:trPr>
          <w:trHeight w:val="243"/>
        </w:trPr>
        <w:tc>
          <w:tcPr>
            <w:tcW w:w="7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Estimated fair value of long-term debt</w:t>
            </w:r>
          </w:p>
        </w:tc>
        <w:tc>
          <w:tcPr>
            <w:tcW w:w="440" w:type="dxa"/>
            <w:vAlign w:val="bottom"/>
            <w:tcBorders>
              <w:bottom w:val="single" w:sz="8" w:color="CCEEFF"/>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1,964,000</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2,123,000</w:t>
            </w:r>
          </w:p>
        </w:tc>
      </w:tr>
      <w:tr>
        <w:trPr>
          <w:trHeight w:val="20"/>
        </w:trPr>
        <w:tc>
          <w:tcPr>
            <w:tcW w:w="7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6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spacing w:after="0" w:line="9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March 31, 2022.</w:t>
      </w:r>
    </w:p>
    <w:p>
      <w:pPr>
        <w:spacing w:after="0" w:line="103"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had no outstanding balance under our CLOC and amounts available to borrow were limited by the debt-to-EBITDA covenant to approximately $427.5 million as of March 31, 2022.</w:t>
      </w:r>
    </w:p>
    <w:p>
      <w:pPr>
        <w:spacing w:after="0" w:line="68"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color w:val="auto"/>
        </w:rPr>
        <w:t>– On April 1, 2022, we sent a notice of redemption to the trustee to fully redeem our outstanding $500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5.500% Senior Notes originally due in November 2022 (2022 Senior Notes). The redemption price is equal to 100% of the outstanding principal amount of the 2022 Senior Notes, plus accrued and unpaid interest up to, but not including, the redemption date. The 2022 Senior Notes were redeemed on May 2, 2022.</w:t>
      </w:r>
    </w:p>
    <w:p>
      <w:pPr>
        <w:spacing w:after="0" w:line="61"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7: INCOME TAXES</w:t>
      </w:r>
    </w:p>
    <w:p>
      <w:pPr>
        <w:spacing w:after="0" w:line="147"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file a consolidated federal income tax return in the U.S. with the Internal Revenue Service (IRS) and file tax returns in various state, local, and foreign jurisdictions. Tax returns are typically examined and either settled upon completion of the examination or through the appeals process. On July 14, 2021 we filed a U.S. federal income tax form 1139 carryback claim to utilize net operating losses against income earned in tax years 2015 and 2016. Filing this carryback claim has opened our 2015 and 2016 tax years to examination. Consequently, our U.S.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645160</wp:posOffset>
            </wp:positionV>
            <wp:extent cx="21463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60" w:hanging="263"/>
        <w:spacing w:after="0"/>
        <w:tabs>
          <w:tab w:leader="none" w:pos="36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 returns for 2015, 2016, 2018 and later years remain open for examination. Our U.S. federal income tax returns for 2017, 2014 and all years prior to 2014 are closed. With respect to state and local jurisdictions 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We had gross unrecognized tax benefits of $225.9 million as of March 31, 2022 and $264.3 million as of June 30, 2021. The gross unrecognized tax benefits decreased $38.4 million during the nine months ended March 31, 2022. The decrease is related to federal and state statute of limitation periods expiring in the current year. We believe it is reasonably possible that the balance of unrecognized tax benefits could decrease by approximately $33.3 million within the next twelve months. The anticipated decrease is due to the expiration of statutes of limitations and anticipated closure of various state matters currently under examination. For such matters where a change in the balance of unrecognized tax benefits is not yet deemed reasonably possible, no estimate has been included.</w:t>
      </w:r>
    </w:p>
    <w:p>
      <w:pPr>
        <w:spacing w:after="0" w:line="100"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Our effective tax rate for continuing operations, including the effects of discrete tax items, was 8.1% and 10.3% for the nine months ended March 31, 2022 and 2021, respectively. Discrete items decreased the effective tax rate by 14.4% and 2.3% for the nine months ended March 31, 2022 and 2021, respectively. A discrete income tax benefit of $52.6 million and $11.4 million were recorded in the nine months ended March 31, 2022 and 2021, respectively. The discrete tax benefit recorded in the current period primarily resulted from federal and state statute of limitations expirations. The discrete tax benefit recorded in the prior period primarily resulted from settlements with taxing authorities and statute of limitations expirations. The impact discrete tax items have on our tax rate through the third quarter are slightly exaggerated versus the impact discrete tax items have on the full fiscal year tax rate.</w:t>
      </w:r>
    </w:p>
    <w:p>
      <w:pPr>
        <w:spacing w:after="0" w:line="69"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8: COMMITMENTS AND CONTINGENCIES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Assisted tax returns 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$13.8 million and $12.6 million as of March 31, 2022 and June 30, 2021, respectively. The short-term and long-term portions of this liability are included in deferred revenue and other liabilities in the consolidated balance sheets.</w:t>
      </w:r>
    </w:p>
    <w:p>
      <w:pPr>
        <w:spacing w:after="0" w:line="10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$13.9 million and $ 17.3 million as of March 31, 2022 and June 30, 2021,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revolving lines of credit. Our total obligation under these lines of credit was $25.5 million at March 31, 2022, and net of amounts drawn and outstanding, our remaining commitment to fund totaled $16.1 million.</w:t>
      </w:r>
    </w:p>
    <w:p>
      <w:pPr>
        <w:spacing w:after="0" w:line="94"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During the first quarter, we applied for employee retention credits related to calendar year 2020.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which could include the completion of any potential audit or examination, or the expiration of the related statute of limitations.</w:t>
      </w:r>
    </w:p>
    <w:p>
      <w:pPr>
        <w:spacing w:after="0" w:line="90" w:lineRule="exact"/>
        <w:rPr>
          <w:sz w:val="20"/>
          <w:szCs w:val="20"/>
          <w:color w:val="auto"/>
        </w:rPr>
      </w:pPr>
    </w:p>
    <w:p>
      <w:pPr>
        <w:jc w:val="both"/>
        <w:ind w:right="20" w:firstLine="202"/>
        <w:spacing w:after="0" w:line="225" w:lineRule="auto"/>
        <w:rPr>
          <w:sz w:val="20"/>
          <w:szCs w:val="20"/>
          <w:color w:val="auto"/>
        </w:rPr>
      </w:pPr>
      <w:r>
        <w:rPr>
          <w:rFonts w:ascii="Arial" w:cs="Arial" w:eastAsia="Arial" w:hAnsi="Arial"/>
          <w:sz w:val="18"/>
          <w:szCs w:val="18"/>
          <w:color w:val="auto"/>
        </w:rPr>
        <w:t>Emerald Advance</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lines of credit (EAs) are originated by MetaBank®, N.A. (Meta). We purchase a 90% participation interest, at par, in all EAs originated by Meta in accordance with our participation agreement.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643890</wp:posOffset>
            </wp:positionV>
            <wp:extent cx="22288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March 31, 2022, the principal balance of purchased participation interests for the current year totaled $256.5 million.</w:t>
      </w:r>
    </w:p>
    <w:p>
      <w:pPr>
        <w:spacing w:after="0" w:line="117" w:lineRule="exact"/>
        <w:rPr>
          <w:sz w:val="20"/>
          <w:szCs w:val="20"/>
          <w:color w:val="auto"/>
        </w:rPr>
      </w:pPr>
    </w:p>
    <w:p>
      <w:pPr>
        <w:jc w:val="both"/>
        <w:ind w:right="20" w:firstLine="202"/>
        <w:spacing w:after="0" w:line="254" w:lineRule="auto"/>
        <w:rPr>
          <w:sz w:val="20"/>
          <w:szCs w:val="20"/>
          <w:color w:val="auto"/>
        </w:rPr>
      </w:pPr>
      <w:r>
        <w:rPr>
          <w:rFonts w:ascii="Arial" w:cs="Arial" w:eastAsia="Arial" w:hAnsi="Arial"/>
          <w:sz w:val="18"/>
          <w:szCs w:val="18"/>
          <w:color w:val="auto"/>
        </w:rPr>
        <w:t>Refund Advance loans are originated by Meta and offered to certain assisted U.S. tax preparation clients, based on client eligibility as determined by Meta. We pay fees primarily based on loan size and customer type. We have provided a guarantee up to $18.0 million related to certain loans to clients prior to the IRS accepting electronic filing. At March 31, 2022, we accrued an estimated liability of $0.6 million related to this guarantee, compared to $2.4 million at March 31, 2021.</w:t>
      </w:r>
    </w:p>
    <w:p>
      <w:pPr>
        <w:spacing w:after="0" w:line="66" w:lineRule="exact"/>
        <w:rPr>
          <w:sz w:val="20"/>
          <w:szCs w:val="20"/>
          <w:color w:val="auto"/>
        </w:rPr>
      </w:pPr>
    </w:p>
    <w:p>
      <w:pPr>
        <w:spacing w:after="0"/>
        <w:rPr>
          <w:sz w:val="20"/>
          <w:szCs w:val="20"/>
          <w:color w:val="auto"/>
        </w:rPr>
      </w:pPr>
      <w:r>
        <w:rPr>
          <w:rFonts w:ascii="Arial" w:cs="Arial" w:eastAsia="Arial" w:hAnsi="Arial"/>
          <w:sz w:val="25"/>
          <w:szCs w:val="25"/>
          <w:b w:val="1"/>
          <w:bCs w:val="1"/>
          <w:color w:val="14AA40"/>
        </w:rPr>
        <w:t>NOTE 9: LITIGATION AND OTHER RELATED CONTINGENCIES</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9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02"/>
        <w:spacing w:after="0" w:line="261"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90"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02"/>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March 31, 2022.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March 31, 2022 and June 30, 2021 our total accrued liabilities were $1.7 million and $1.6 million, respectively.</w:t>
      </w:r>
    </w:p>
    <w:p>
      <w:pPr>
        <w:spacing w:after="0" w:line="10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214630" cy="120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263"/>
        <w:spacing w:after="0"/>
        <w:tabs>
          <w:tab w:leader="none" w:pos="36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defenses to the claims being asserted, discovery from other parties and investigation of factual allegations, rulings by courts on motions or appeals, analysis by experts, or the status or terms of any settlement negotiations.</w:t>
      </w:r>
    </w:p>
    <w:p>
      <w:pPr>
        <w:spacing w:after="0" w:line="90"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March 31, 2022, we believe the estimate of the aggregate range of reasonably possible losses in excess of amounts accrued, where the range of loss can be estimated, is not material.</w:t>
      </w:r>
    </w:p>
    <w:p>
      <w:pPr>
        <w:spacing w:after="0" w:line="96"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color w:val="auto"/>
        </w:rPr>
        <w:t>At the end of each reporting period,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96"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02"/>
        <w:spacing w:after="0" w:line="254"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The case is styled </w:t>
      </w:r>
      <w:r>
        <w:rPr>
          <w:rFonts w:ascii="Arial" w:cs="Arial" w:eastAsia="Arial" w:hAnsi="Arial"/>
          <w:sz w:val="18"/>
          <w:szCs w:val="18"/>
          <w:i w:val="1"/>
          <w:iCs w:val="1"/>
          <w:color w:val="auto"/>
        </w:rPr>
        <w:t>The People of the State of California v.</w:t>
      </w:r>
      <w:r>
        <w:rPr>
          <w:rFonts w:ascii="Arial" w:cs="Arial" w:eastAsia="Arial" w:hAnsi="Arial"/>
          <w:sz w:val="18"/>
          <w:szCs w:val="18"/>
          <w:color w:val="auto"/>
        </w:rPr>
        <w:t xml:space="preserve"> </w:t>
      </w:r>
      <w:r>
        <w:rPr>
          <w:rFonts w:ascii="Arial" w:cs="Arial" w:eastAsia="Arial" w:hAnsi="Arial"/>
          <w:sz w:val="18"/>
          <w:szCs w:val="18"/>
          <w:i w:val="1"/>
          <w:iCs w:val="1"/>
          <w:color w:val="auto"/>
        </w:rPr>
        <w:t>HRB Digital LLC, et al</w:t>
      </w:r>
      <w:r>
        <w:rPr>
          <w:rFonts w:ascii="Arial" w:cs="Arial" w:eastAsia="Arial" w:hAnsi="Arial"/>
          <w:sz w:val="18"/>
          <w:szCs w:val="18"/>
          <w:color w:val="auto"/>
        </w:rPr>
        <w:t>. The complaint alleges that H&amp;R Block, Inc. and HRB Digital LLC engaged in unfair, fraudulent and deceptive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practices 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four years prior to the date of the filing of the complaint, pre-judgment interest, civil penalties and costs. The City Attorney subsequently dismissed H&amp;R Block, Inc. from the case and amended its complaint to add HRB Tax Group, Inc. We filed a motion to stay the case based on the primary jurisdiction doctrine, which was denied. A trial date is set for November 8, 2022. We have not concluded that a loss related to this matter is probable, nor have we accrued a liability related to this matter.</w:t>
      </w:r>
    </w:p>
    <w:p>
      <w:pPr>
        <w:spacing w:after="0" w:line="99" w:lineRule="exact"/>
        <w:rPr>
          <w:sz w:val="20"/>
          <w:szCs w:val="20"/>
          <w:color w:val="auto"/>
        </w:rPr>
      </w:pPr>
    </w:p>
    <w:p>
      <w:pPr>
        <w:jc w:val="both"/>
        <w:ind w:firstLine="202"/>
        <w:spacing w:after="0" w:line="251"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sought to represent both a nationwide class and a California subclass of all persons eligible for the IRS Free</w:t>
      </w:r>
      <w:r>
        <w:rPr>
          <w:rFonts w:ascii="Arial" w:cs="Arial" w:eastAsia="Arial" w:hAnsi="Arial"/>
          <w:sz w:val="18"/>
          <w:szCs w:val="18"/>
          <w:i w:val="1"/>
          <w:iCs w:val="1"/>
          <w:color w:val="auto"/>
        </w:rPr>
        <w:t xml:space="preserve"> </w:t>
      </w:r>
      <w:r>
        <w:rPr>
          <w:rFonts w:ascii="Arial" w:cs="Arial" w:eastAsia="Arial" w:hAnsi="Arial"/>
          <w:sz w:val="18"/>
          <w:szCs w:val="18"/>
          <w:color w:val="auto"/>
        </w:rPr>
        <w:t>File Program who paid to use an H&amp;R Block product to file an online tax return for the 2002 through 2018 tax filing years. The plaintiff generally alleged unlawful, unfair, fraudulent and deceptive business practices and acts in connection with the IRS Free File Program in violation of the California Consumers Legal Remedies Act, California Civil Code §§1750, et seq., California False Advertising Law, California Business and Professions Code §§17500, et seq., California Unfair Competition Law, California Business and Professions Code §§17200, et seq., in addition to breach of contract and fraud. The plaintiff sought injunctive relief, disgorgement, compensatory damages, statutory damages, punitive damages, interest, attorneys’ fees and costs. The court granted a motion to dismiss filed by defendant Free File, Inc. for lack of personal jurisdiction. The court subsequently granted our motion to compel arbitration and stayed the case pending the outcome of individual arbitration. The plaintiff filed a claim in arbitration, which was dismissed on February 7, 2022. The plaintiff’s lawsuit was dismissed on March 2, 2022. We have not concluded that a loss related to this matter is probable, nor have we accrued a liability related to this matter.</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648970</wp:posOffset>
            </wp:positionV>
            <wp:extent cx="222885" cy="120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firstLine="202"/>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97"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DB Structured Products, Inc.</w:t>
      </w:r>
      <w:r>
        <w:rPr>
          <w:rFonts w:ascii="Arial" w:cs="Arial" w:eastAsia="Arial" w:hAnsi="Arial"/>
          <w:sz w:val="18"/>
          <w:szCs w:val="18"/>
          <w:color w:val="auto"/>
        </w:rPr>
        <w:t>, that the six-year statute of limitations under New York law starts to run at the time the representations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9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asserted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sought specific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706120</wp:posOffset>
            </wp:positionV>
            <wp:extent cx="214630"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263"/>
        <w:spacing w:after="0"/>
        <w:tabs>
          <w:tab w:leader="none" w:pos="36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 declaratory judgment.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filed an appeal to the Second Circuit Court of Appeals, which was denied on February 10, 2022. Homeward subsequently filed a petition for panel rehearing with the Second Circuit, which was denied on March 15, 2022. We have not concluded that a loss related to this matter is probable, nor have we accrued a liability related to this matter.</w:t>
      </w:r>
    </w:p>
    <w:p>
      <w:pPr>
        <w:spacing w:after="0" w:line="103"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asserted claims for breach of contract and indemnity in connection with losses allegedly incurred as a result of the breach of representations and warranties relating to 96 loans sold to the trust. The trust was originally collateralized with approximately 7,500 loans. The plaintiff sought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proceeded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related to some of the loans in this case. Discovery in the case closed on September 30, 2019, with motions for summary judgment filed on December 6, 2019. On November 9, 2020, the court granted SCC's motion for summary judgment and dismissed Homeward's claims in their entirety as untimely under the applicable statute of limitations. Homeward filed an appeal to the Second Circuit Court of Appeals, which was denied on February 10, 2022. Homeward subsequently filed a petition for panel rehearing with the Second Circuit, which was denied on March 15, 2022. We have not concluded that a loss related to this matter is probable, nor have we accrued a liability related to this matter.</w:t>
      </w:r>
    </w:p>
    <w:p>
      <w:pPr>
        <w:spacing w:after="0" w:line="98"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Parties, including underwriters, depositors, and securitization trustees,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that originators, depositors, securitization trustees, or servicers breached their representations and warranties or otherwise failed to fulfill their obligations, or that securitization trustees violated statutory requirements by failing to properly protect the certificate holders’ interests. SCC has received notices of claims for indemnification or potential indemnification obligations relating to such matters, including lawsuits or settlements to which underwriters, depositors, or securitization trustees are party. Additional lawsuits against the parties to the securitization transactions may be filed in the future, and SCC may receive additional notices of claims for indemnification, contribution or similar obligations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708660</wp:posOffset>
            </wp:positionV>
            <wp:extent cx="222885" cy="120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9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March 31, 2022, total approximately $265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5" w:lineRule="exact"/>
        <w:rPr>
          <w:sz w:val="20"/>
          <w:szCs w:val="20"/>
          <w:color w:val="auto"/>
        </w:rPr>
      </w:pPr>
    </w:p>
    <w:p>
      <w:pPr>
        <w:jc w:val="both"/>
        <w:ind w:firstLine="202"/>
        <w:spacing w:after="0" w:line="26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85" w:lineRule="exact"/>
        <w:rPr>
          <w:sz w:val="20"/>
          <w:szCs w:val="20"/>
          <w:color w:val="auto"/>
        </w:rPr>
      </w:pPr>
    </w:p>
    <w:p>
      <w:pPr>
        <w:jc w:val="both"/>
        <w:ind w:firstLine="202"/>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64" w:lineRule="exact"/>
        <w:rPr>
          <w:sz w:val="20"/>
          <w:szCs w:val="20"/>
          <w:color w:val="auto"/>
        </w:rPr>
      </w:pPr>
    </w:p>
    <w:p>
      <w:pPr>
        <w:jc w:val="both"/>
        <w:ind w:left="1140" w:hanging="1133"/>
        <w:spacing w:after="0" w:line="288" w:lineRule="auto"/>
        <w:tabs>
          <w:tab w:leader="none" w:pos="1120" w:val="left"/>
        </w:tabs>
        <w:rPr>
          <w:sz w:val="20"/>
          <w:szCs w:val="20"/>
          <w:color w:val="auto"/>
        </w:rPr>
      </w:pPr>
      <w:r>
        <w:rPr>
          <w:rFonts w:ascii="Arial" w:cs="Arial" w:eastAsia="Arial" w:hAnsi="Arial"/>
          <w:sz w:val="25"/>
          <w:szCs w:val="25"/>
          <w:b w:val="1"/>
          <w:bCs w:val="1"/>
          <w:color w:val="14AA40"/>
        </w:rPr>
        <w:t>ITEM 2.</w:t>
        <w:tab/>
        <w:t>MANAGEMENT'S DISCUSSION AND ANALYSIS OF FINANCIAL CONDITION AND RESULTS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9" w:lineRule="exact"/>
        <w:rPr>
          <w:sz w:val="20"/>
          <w:szCs w:val="20"/>
          <w:color w:val="auto"/>
        </w:rPr>
      </w:pPr>
    </w:p>
    <w:p>
      <w:pPr>
        <w:jc w:val="both"/>
        <w:ind w:right="20"/>
        <w:spacing w:after="0" w:line="226" w:lineRule="exact"/>
        <w:rPr>
          <w:sz w:val="20"/>
          <w:szCs w:val="20"/>
          <w:color w:val="auto"/>
        </w:rPr>
      </w:pPr>
      <w:r>
        <w:rPr>
          <w:rFonts w:ascii="Arial" w:cs="Arial" w:eastAsia="Arial" w:hAnsi="Arial"/>
          <w:sz w:val="18"/>
          <w:szCs w:val="18"/>
          <w:color w:val="auto"/>
        </w:rPr>
        <w:t>On December 20, 2021, we entered into a First Amendment to our August 2020 Program Management Agreement (PMA) with MetaBank®, N.A. (Meta), which among other things, extends the PMA through June 30, 2025, and adds Spruce</w:t>
      </w:r>
      <w:r>
        <w:rPr>
          <w:rFonts w:ascii="MS PGothic" w:cs="MS PGothic" w:eastAsia="MS PGothic" w:hAnsi="MS PGothic"/>
          <w:sz w:val="18"/>
          <w:szCs w:val="18"/>
          <w:color w:val="auto"/>
        </w:rPr>
        <w:t>℠</w:t>
      </w:r>
      <w:r>
        <w:rPr>
          <w:rFonts w:ascii="Arial" w:cs="Arial" w:eastAsia="Arial" w:hAnsi="Arial"/>
          <w:sz w:val="18"/>
          <w:szCs w:val="18"/>
          <w:color w:val="auto"/>
        </w:rPr>
        <w:t xml:space="preserve"> accounts to the program.</w:t>
      </w:r>
    </w:p>
    <w:p>
      <w:pPr>
        <w:spacing w:after="0" w:line="42" w:lineRule="exact"/>
        <w:rPr>
          <w:sz w:val="20"/>
          <w:szCs w:val="20"/>
          <w:color w:val="auto"/>
        </w:rPr>
      </w:pPr>
    </w:p>
    <w:p>
      <w:pPr>
        <w:jc w:val="both"/>
        <w:ind w:firstLine="162"/>
        <w:spacing w:after="0" w:line="232" w:lineRule="exact"/>
        <w:rPr>
          <w:sz w:val="20"/>
          <w:szCs w:val="20"/>
          <w:color w:val="auto"/>
        </w:rPr>
      </w:pPr>
      <w:r>
        <w:rPr>
          <w:rFonts w:ascii="Arial" w:cs="Arial" w:eastAsia="Arial" w:hAnsi="Arial"/>
          <w:sz w:val="18"/>
          <w:szCs w:val="18"/>
          <w:color w:val="auto"/>
        </w:rPr>
        <w:t>In January 2022, we launched the Spruce</w:t>
      </w:r>
      <w:r>
        <w:rPr>
          <w:rFonts w:ascii="MS PGothic" w:cs="MS PGothic" w:eastAsia="MS PGothic" w:hAnsi="MS PGothic"/>
          <w:sz w:val="18"/>
          <w:szCs w:val="18"/>
          <w:color w:val="auto"/>
        </w:rPr>
        <w:t>℠</w:t>
      </w:r>
      <w:r>
        <w:rPr>
          <w:rFonts w:ascii="Arial" w:cs="Arial" w:eastAsia="Arial" w:hAnsi="Arial"/>
          <w:sz w:val="18"/>
          <w:szCs w:val="18"/>
          <w:color w:val="auto"/>
        </w:rPr>
        <w:t xml:space="preserve"> mobile banking platform as a part of the Financial Products imperative of our previously-announced Block Horizons 2025 strategic plan. The Spruce</w:t>
      </w:r>
      <w:r>
        <w:rPr>
          <w:rFonts w:ascii="MS PGothic" w:cs="MS PGothic" w:eastAsia="MS PGothic" w:hAnsi="MS PGothic"/>
          <w:sz w:val="18"/>
          <w:szCs w:val="18"/>
          <w:color w:val="auto"/>
        </w:rPr>
        <w:t>℠</w:t>
      </w:r>
      <w:r>
        <w:rPr>
          <w:rFonts w:ascii="Arial" w:cs="Arial" w:eastAsia="Arial" w:hAnsi="Arial"/>
          <w:sz w:val="18"/>
          <w:szCs w:val="18"/>
          <w:color w:val="auto"/>
        </w:rPr>
        <w:t xml:space="preserve"> solution, built by H&amp;R Block with banking products powered by Meta, includes a spending account with a debit card, along with a connected savings account that allows for budgeting for specific goals.</w:t>
      </w:r>
    </w:p>
    <w:p>
      <w:pPr>
        <w:spacing w:after="0" w:line="10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On April 1, 2022, we sent a notice of redemption to the trustee to fully redeem our outstanding $500 million 5.500% Senior Notes originally due in November 2022 (2022 Senior Notes). The redemption price is equal to 100% of the outstanding principal amount of the 2022 Senior Notes, plus accrued and unpaid interest up to, but not including, the redemption date. The 2022 Senior Notes were redeemed on May 2, 2022.</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21, 2020, the federal tax filing deadline in the U.S. for individual 2019 tax returns was extended from April 15, 2020 to July 15, 2020, shifting a portion of revenues and expenses from that tax season into the nine months ended March 31, 2021. This extension impacted the typical seasonality of our business and the comparability of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214630" cy="1200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hanging="263"/>
        <w:spacing w:after="0"/>
        <w:tabs>
          <w:tab w:leader="none" w:pos="36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and DIY tax preparation solutions through multiple channels (including in-person, online and mobile applications, virtual, and desktop software) and distribute H&amp;R Block-branded products and services, including those of our bank partner,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and franchise offices and online through Wave. We report a single segment that includes all of our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U.S. Operating Statistics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Nine months ended March 31,</w:t>
            </w: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16"/>
                <w:szCs w:val="16"/>
                <w:color w:val="auto"/>
              </w:rPr>
              <w:t>2021</w:t>
            </w:r>
            <w:r>
              <w:rPr>
                <w:rFonts w:ascii="Arial" w:cs="Arial" w:eastAsia="Arial" w:hAnsi="Arial"/>
                <w:sz w:val="21"/>
                <w:szCs w:val="21"/>
                <w:color w:val="auto"/>
                <w:vertAlign w:val="superscript"/>
              </w:rPr>
              <w:t>(1)</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Change</w:t>
            </w: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4580" w:type="dxa"/>
            <w:vAlign w:val="bottom"/>
            <w:tcBorders>
              <w:top w:val="single" w:sz="8" w:color="auto"/>
            </w:tcBorders>
          </w:tcPr>
          <w:p>
            <w:pPr>
              <w:ind w:left="20"/>
              <w:spacing w:after="0" w:line="210" w:lineRule="exact"/>
              <w:rPr>
                <w:sz w:val="20"/>
                <w:szCs w:val="20"/>
                <w:color w:val="auto"/>
              </w:rPr>
            </w:pPr>
            <w:r>
              <w:rPr>
                <w:rFonts w:ascii="Arial" w:cs="Arial" w:eastAsia="Arial" w:hAnsi="Arial"/>
                <w:sz w:val="16"/>
                <w:szCs w:val="16"/>
                <w:b w:val="1"/>
                <w:bCs w:val="1"/>
                <w:color w:val="auto"/>
              </w:rPr>
              <w:t xml:space="preserve">Tax returns prepared: </w:t>
            </w:r>
            <w:r>
              <w:rPr>
                <w:rFonts w:ascii="Arial" w:cs="Arial" w:eastAsia="Arial" w:hAnsi="Arial"/>
                <w:sz w:val="16"/>
                <w:szCs w:val="16"/>
                <w:color w:val="auto"/>
              </w:rPr>
              <w:t>(in 000s)</w:t>
            </w:r>
            <w:r>
              <w:rPr>
                <w:rFonts w:ascii="Arial" w:cs="Arial" w:eastAsia="Arial" w:hAnsi="Arial"/>
                <w:sz w:val="16"/>
                <w:szCs w:val="16"/>
                <w:b w:val="1"/>
                <w:bCs w:val="1"/>
                <w:color w:val="auto"/>
              </w:rPr>
              <w:t xml:space="preserve"> </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Company-owned operations</w:t>
            </w: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6,209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5"/>
        </w:trPr>
        <w:tc>
          <w:tcPr>
            <w:tcW w:w="4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Franchise operations</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(14.0)%</w:t>
            </w:r>
          </w:p>
        </w:tc>
      </w:tr>
      <w:tr>
        <w:trPr>
          <w:trHeight w:val="210"/>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assisted</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8,509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9"/>
        </w:trPr>
        <w:tc>
          <w:tcPr>
            <w:tcW w:w="4700" w:type="dxa"/>
            <w:vAlign w:val="bottom"/>
            <w:gridSpan w:val="2"/>
          </w:tcPr>
          <w:p>
            <w:pPr>
              <w:ind w:left="220"/>
              <w:spacing w:after="0"/>
              <w:rPr>
                <w:sz w:val="20"/>
                <w:szCs w:val="20"/>
                <w:color w:val="auto"/>
              </w:rPr>
            </w:pPr>
            <w:r>
              <w:rPr>
                <w:rFonts w:ascii="Arial" w:cs="Arial" w:eastAsia="Arial" w:hAnsi="Arial"/>
                <w:sz w:val="16"/>
                <w:szCs w:val="16"/>
                <w:color w:val="auto"/>
              </w:rPr>
              <w:t>Desktop</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1,043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(25.8)%</w:t>
            </w:r>
          </w:p>
        </w:tc>
      </w:tr>
      <w:tr>
        <w:trPr>
          <w:trHeight w:val="216"/>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Online</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4,457</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0"/>
        </w:trPr>
        <w:tc>
          <w:tcPr>
            <w:tcW w:w="470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Total DIY</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5,500</w:t>
            </w: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(19.9)%</w:t>
            </w:r>
          </w:p>
        </w:tc>
      </w:tr>
      <w:tr>
        <w:trPr>
          <w:trHeight w:val="210"/>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U.S. Returns</w:t>
            </w:r>
          </w:p>
        </w:tc>
        <w:tc>
          <w:tcPr>
            <w:tcW w:w="5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14,009</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196"/>
        </w:trPr>
        <w:tc>
          <w:tcPr>
            <w:tcW w:w="4700" w:type="dxa"/>
            <w:vAlign w:val="bottom"/>
            <w:gridSpan w:val="2"/>
          </w:tcPr>
          <w:p>
            <w:pPr>
              <w:ind w:left="20"/>
              <w:spacing w:after="0" w:line="196" w:lineRule="exact"/>
              <w:rPr>
                <w:sz w:val="20"/>
                <w:szCs w:val="20"/>
                <w:color w:val="auto"/>
              </w:rPr>
            </w:pPr>
            <w:r>
              <w:rPr>
                <w:rFonts w:ascii="Arial" w:cs="Arial" w:eastAsia="Arial" w:hAnsi="Arial"/>
                <w:sz w:val="16"/>
                <w:szCs w:val="16"/>
                <w:b w:val="1"/>
                <w:bCs w:val="1"/>
                <w:color w:val="auto"/>
              </w:rPr>
              <w:t xml:space="preserve">Net Average Charge: </w:t>
            </w:r>
            <w:r>
              <w:rPr>
                <w:rFonts w:ascii="Arial" w:cs="Arial" w:eastAsia="Arial" w:hAnsi="Arial"/>
                <w:sz w:val="21"/>
                <w:szCs w:val="21"/>
                <w:color w:val="auto"/>
                <w:vertAlign w:val="superscript"/>
              </w:rPr>
              <w:t>(3)</w:t>
            </w: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Company-owned operations</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234.59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r>
      <w:tr>
        <w:trPr>
          <w:trHeight w:val="216"/>
        </w:trPr>
        <w:tc>
          <w:tcPr>
            <w:tcW w:w="470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1"/>
                <w:szCs w:val="21"/>
                <w:color w:val="auto"/>
                <w:vertAlign w:val="superscript"/>
              </w:rPr>
              <w:t>(4)</w:t>
            </w: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229.64</w:t>
            </w:r>
          </w:p>
        </w:tc>
        <w:tc>
          <w:tcPr>
            <w:tcW w:w="120" w:type="dxa"/>
            <w:vAlign w:val="bottom"/>
          </w:tcPr>
          <w:p>
            <w:pPr>
              <w:spacing w:after="0"/>
              <w:rPr>
                <w:sz w:val="18"/>
                <w:szCs w:val="18"/>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210.56</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19.08</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21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Online</w:t>
            </w: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32.53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54"/>
        </w:trPr>
        <w:tc>
          <w:tcPr>
            <w:tcW w:w="4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86"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9"/>
          <w:szCs w:val="9"/>
          <w:color w:val="auto"/>
        </w:rPr>
      </w:pPr>
      <w:r>
        <w:rPr>
          <w:rFonts w:ascii="Arial" w:cs="Arial" w:eastAsia="Arial" w:hAnsi="Arial"/>
          <w:sz w:val="14"/>
          <w:szCs w:val="14"/>
          <w:color w:val="auto"/>
        </w:rPr>
        <w:t>Represents a partial 2019 individual tax filing season, which was extended until July 15, 2020.</w:t>
      </w:r>
    </w:p>
    <w:p>
      <w:pPr>
        <w:spacing w:after="0" w:line="1" w:lineRule="exact"/>
        <w:rPr>
          <w:rFonts w:ascii="Arial" w:cs="Arial" w:eastAsia="Arial" w:hAnsi="Arial"/>
          <w:sz w:val="9"/>
          <w:szCs w:val="9"/>
          <w:color w:val="auto"/>
        </w:rPr>
      </w:pPr>
    </w:p>
    <w:p>
      <w:pPr>
        <w:jc w:val="both"/>
        <w:ind w:left="180" w:hanging="172"/>
        <w:spacing w:after="0" w:line="241" w:lineRule="auto"/>
        <w:tabs>
          <w:tab w:leader="none" w:pos="322" w:val="left"/>
        </w:tabs>
        <w:numPr>
          <w:ilvl w:val="0"/>
          <w:numId w:val="14"/>
        </w:numPr>
        <w:rPr>
          <w:rFonts w:ascii="Arial" w:cs="Arial" w:eastAsia="Arial" w:hAnsi="Arial"/>
          <w:sz w:val="9"/>
          <w:szCs w:val="9"/>
          <w:color w:val="auto"/>
        </w:rPr>
      </w:pPr>
      <w:r>
        <w:rPr>
          <w:rFonts w:ascii="Arial" w:cs="Arial" w:eastAsia="Arial" w:hAnsi="Arial"/>
          <w:sz w:val="14"/>
          <w:szCs w:val="14"/>
          <w:color w:val="auto"/>
        </w:rPr>
        <w:t>An assisted tax return is defined as a current or prior year individual or business tax return that has been accepted by the client. A DIY online return is defined as a current year individual or business tax return that has been accepted by the client. A DIY desktop return is defined as a current year individual or business tax return that has been electronically submitted to the IRS.</w:t>
      </w:r>
    </w:p>
    <w:p>
      <w:pPr>
        <w:spacing w:after="0" w:line="1" w:lineRule="exact"/>
        <w:rPr>
          <w:rFonts w:ascii="Arial" w:cs="Arial" w:eastAsia="Arial" w:hAnsi="Arial"/>
          <w:sz w:val="9"/>
          <w:szCs w:val="9"/>
          <w:color w:val="auto"/>
        </w:rPr>
      </w:pPr>
    </w:p>
    <w:p>
      <w:pPr>
        <w:ind w:left="280" w:hanging="272"/>
        <w:spacing w:after="0"/>
        <w:tabs>
          <w:tab w:leader="none" w:pos="280" w:val="left"/>
        </w:tabs>
        <w:numPr>
          <w:ilvl w:val="0"/>
          <w:numId w:val="14"/>
        </w:numPr>
        <w:rPr>
          <w:rFonts w:ascii="Arial" w:cs="Arial" w:eastAsia="Arial" w:hAnsi="Arial"/>
          <w:sz w:val="9"/>
          <w:szCs w:val="9"/>
          <w:color w:val="auto"/>
        </w:rPr>
      </w:pPr>
      <w:r>
        <w:rPr>
          <w:rFonts w:ascii="Arial" w:cs="Arial" w:eastAsia="Arial" w:hAnsi="Arial"/>
          <w:sz w:val="14"/>
          <w:szCs w:val="14"/>
          <w:color w:val="auto"/>
        </w:rPr>
        <w:t>Net average charge is calculated as total tax preparation fees divided by tax returns prepared.</w:t>
      </w:r>
    </w:p>
    <w:p>
      <w:pPr>
        <w:spacing w:after="0" w:line="1" w:lineRule="exact"/>
        <w:rPr>
          <w:rFonts w:ascii="Arial" w:cs="Arial" w:eastAsia="Arial" w:hAnsi="Arial"/>
          <w:sz w:val="9"/>
          <w:szCs w:val="9"/>
          <w:color w:val="auto"/>
        </w:rPr>
      </w:pPr>
    </w:p>
    <w:p>
      <w:pPr>
        <w:ind w:left="180" w:hanging="172"/>
        <w:spacing w:after="0" w:line="258" w:lineRule="auto"/>
        <w:tabs>
          <w:tab w:leader="none" w:pos="296" w:val="left"/>
        </w:tabs>
        <w:numPr>
          <w:ilvl w:val="0"/>
          <w:numId w:val="14"/>
        </w:numPr>
        <w:rPr>
          <w:rFonts w:ascii="Arial" w:cs="Arial" w:eastAsia="Arial" w:hAnsi="Arial"/>
          <w:sz w:val="9"/>
          <w:szCs w:val="9"/>
          <w:color w:val="auto"/>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80" w:lineRule="exact"/>
        <w:rPr>
          <w:sz w:val="20"/>
          <w:szCs w:val="20"/>
          <w:color w:val="auto"/>
        </w:rPr>
      </w:pPr>
    </w:p>
    <w:p>
      <w:pPr>
        <w:jc w:val="both"/>
        <w:ind w:firstLine="213"/>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643255</wp:posOffset>
            </wp:positionV>
            <wp:extent cx="222885" cy="1200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March 31,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1,392,142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1,290,892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101,250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158,786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150,117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8,669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5.8 %</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175,184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181,294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65,232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62,869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3.8 %</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132,223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50,660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73,647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(22,987)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(31.2)%</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17,222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17,668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9,078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8,643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5.0 %</w:t>
            </w:r>
          </w:p>
        </w:tc>
      </w:tr>
      <w:tr>
        <w:trPr>
          <w:trHeight w:val="217"/>
        </w:trPr>
        <w:tc>
          <w:tcPr>
            <w:tcW w:w="542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30,535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4,029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25.1 %</w:t>
            </w:r>
          </w:p>
        </w:tc>
      </w:tr>
      <w:tr>
        <w:trPr>
          <w:trHeight w:val="216"/>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13.7 %</w:t>
            </w:r>
          </w:p>
        </w:tc>
      </w:tr>
      <w:tr>
        <w:trPr>
          <w:trHeight w:val="209"/>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2,061,757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1,983,564</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3.9 %</w:t>
            </w:r>
          </w:p>
        </w:tc>
      </w:tr>
      <w:tr>
        <w:trPr>
          <w:trHeight w:val="19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435,345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409,741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(25,604)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(6.2)%</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78,584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78,181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5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91,051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92,825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1.9 %</w:t>
            </w:r>
          </w:p>
        </w:tc>
      </w:tr>
      <w:tr>
        <w:trPr>
          <w:trHeight w:val="210"/>
        </w:trPr>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604,980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111,405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113,759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196,582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36,116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39,100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7.6 %</w:t>
            </w:r>
          </w:p>
        </w:tc>
      </w:tr>
      <w:tr>
        <w:trPr>
          <w:trHeight w:val="21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182,258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169,546</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(7.5)%</w:t>
            </w:r>
          </w:p>
        </w:tc>
      </w:tr>
      <w:tr>
        <w:trPr>
          <w:trHeight w:val="210"/>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1,176,392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1,132,327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(44,065)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(47.0)%</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(23,746)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(22,471)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Pretax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861,857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829,215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32,642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3.9 %</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186,884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69,543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(117,341)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(168.7)%</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674,973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759,672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(84,699)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w:t>
            </w:r>
          </w:p>
        </w:tc>
      </w:tr>
      <w:tr>
        <w:trPr>
          <w:trHeight w:val="210"/>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673,177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758,247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(85,070)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(11.2)%</w:t>
            </w:r>
          </w:p>
        </w:tc>
      </w:tr>
      <w:tr>
        <w:trPr>
          <w:trHeight w:val="19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4.09</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5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5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50"/>
        </w:trPr>
        <w:tc>
          <w:tcPr>
            <w:tcW w:w="542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921,719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890,786</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30,933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5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non-GAAP measures are results from continuing operations. See "</w:t>
      </w:r>
      <w:hyperlink w:anchor="page28">
        <w:r>
          <w:rPr>
            <w:rFonts w:ascii="Arial" w:cs="Arial" w:eastAsia="Arial" w:hAnsi="Arial"/>
            <w:sz w:val="14"/>
            <w:szCs w:val="14"/>
            <w:u w:val="single" w:color="auto"/>
            <w:color w:val="0000FF"/>
          </w:rPr>
          <w:t>Non-GAAP Financial Information</w:t>
        </w:r>
      </w:hyperlink>
      <w:r>
        <w:rPr>
          <w:rFonts w:ascii="Arial" w:cs="Arial" w:eastAsia="Arial" w:hAnsi="Arial"/>
          <w:sz w:val="14"/>
          <w:szCs w:val="14"/>
          <w:color w:val="auto"/>
        </w:rPr>
        <w:t>" at the end of this item for a reconciliation of non-GAAP measures</w:t>
      </w:r>
      <w:r>
        <w:rPr>
          <w:rFonts w:ascii="Arial" w:cs="Arial" w:eastAsia="Arial" w:hAnsi="Arial"/>
          <w:sz w:val="12"/>
          <w:szCs w:val="12"/>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 compared to March 31, 2021</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$78.2 million, or 3.9%, from the prior year. Revenues for U.S. assisted tax preparation increased $101.3 million, or 7.8%, largely due to a higher net average charge in the current year combined with higher tax return volumes. U.S. royalties revenues increased $8.7 million, or 5.8%, due to an increase in tax preparation fees. U.S. DIY tax preparation revenues decreased $6.1 million, or 3.4%, due to lower tax return volumes. Emerald Card® revenues decreased $23.0 million, or 31.2%, due to lower card activity in the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21463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hanging="263"/>
        <w:spacing w:after="0"/>
        <w:tabs>
          <w:tab w:leader="none" w:pos="36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quarter as some stimulus payments were loaded on to Emerald Cards in the prior year. Interest and fees on Emerald Advances decreased $7.7 million, or 20.2%, due to a decline in Emerald Advances</w:t>
      </w:r>
      <w:r>
        <w:rPr>
          <w:rFonts w:ascii="Arial" w:cs="Arial" w:eastAsia="Arial" w:hAnsi="Arial"/>
          <w:sz w:val="23"/>
          <w:szCs w:val="23"/>
          <w:color w:val="auto"/>
          <w:vertAlign w:val="superscript"/>
        </w:rPr>
        <w:t>SM</w:t>
      </w:r>
      <w:r>
        <w:rPr>
          <w:rFonts w:ascii="Arial" w:cs="Arial" w:eastAsia="Arial" w:hAnsi="Arial"/>
          <w:sz w:val="18"/>
          <w:szCs w:val="18"/>
          <w:color w:val="auto"/>
        </w:rPr>
        <w:t xml:space="preserve"> in the current year. Wave revenues increased $4.0 million, or 25.1%, due to higher small business payments processing volumes.</w:t>
      </w:r>
    </w:p>
    <w:p>
      <w:pPr>
        <w:spacing w:after="0" w:line="10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Total operating expenses increased $44.1 million, or 3.9%, from the prior year. Field wages increased $25.6 million, or 6.2%, due to higher hourly wage rates. Marketing expense increased $13.5 million, or 7.4%, due to higher online advertising and agency fees. Depreciation and amortization expense decreased $3.0 million, or 7.6%, due to lower amortization on acquired intangibles and depreciation on equipment.</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$12.7 million, or 7.5%. The components of other expenses are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Three months ended March 31,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10"/>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Consulting and outsourced services</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46,402</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48,845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2,443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5.0 %</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 partner fees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23,686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Client claims and refunds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10,730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10,057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(6.7)%</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and travel expenses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(72.3)%</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Technology-related expenses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26,373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(2,948)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(12.6)%</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card/bank charges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30,770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4,099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(30.7)%</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Legal fees and settlements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(115.2)%</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Supplies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14,243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9,315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49"/>
        </w:trPr>
        <w:tc>
          <w:tcPr>
            <w:tcW w:w="4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182,258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169,546</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(12,712)</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(7.5)%</w:t>
            </w:r>
          </w:p>
        </w:tc>
      </w:tr>
      <w:tr>
        <w:trPr>
          <w:trHeight w:val="20"/>
        </w:trPr>
        <w:tc>
          <w:tcPr>
            <w:tcW w:w="4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Employee and travel expenses increased $4.0 million, or 72.3%, due to less travel in the prior year as a result of COVID-19 restrictions. Technology-related expenses increased $2.9 million, or 12.6%, due to increased investments in information technology. Credit card and bank charges increased $2.9 million, or 10.3%, due to higher Wave small business payment processing fees. Legal fees and settlements increased $3.8 million, or 115.2%, due to higher fees attributable to certain pending litigation matters.</w:t>
      </w:r>
    </w:p>
    <w:p>
      <w:pPr>
        <w:spacing w:after="0" w:line="9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recorded an income tax expense of $186.9 million in the current year compared to $69.5 million in the prior year. The effective tax rate for the three months ended March 31, 2022, and 2021 was 21.7% and 8.4%, respectively. The lower rate in prior year is a result of tax benefits recorded related to our net operating loss carrybacks to 35% tax years.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U.S. federal tax filing deadline for 2021 individual income tax returns was April 18, 2022, the deadline for 2020 tax returns was May 17, 2021 and the deadline for 2019 tax returns was July 15, 2020. Therefore, the year-over-year periods are not directly comparable. Our business is highly seasonal and results for the three months ended March 31 may not be indicative of results for the entire tax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643255</wp:posOffset>
            </wp:positionV>
            <wp:extent cx="22288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Consolidated - Financial Results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09"/>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March 31,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7"/>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assisted tax preparation</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1,456,594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1,532,079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U.S. royalties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169,548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178,126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(8,578)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U.S. DIY tax preparation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188,455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234,871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International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151,464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148,282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3,182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2.1 %</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Refund Transfers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134,665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Emerald Card®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103,748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96,045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7,703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8.0 %</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Peace of Mind® Extended Service Plan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59,373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Tax Identity Shield®</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19,431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22,446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(13.4)%</w:t>
            </w:r>
          </w:p>
        </w:tc>
      </w:tr>
      <w:tr>
        <w:trPr>
          <w:trHeight w:val="217"/>
        </w:trPr>
        <w:tc>
          <w:tcPr>
            <w:tcW w:w="542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1"/>
                <w:szCs w:val="21"/>
                <w:color w:val="auto"/>
                <w:vertAlign w:val="superscript"/>
              </w:rPr>
              <w:t>SM</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43,438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(17.7)%</w:t>
            </w: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Wave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58,745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44,656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14,089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31.6 %</w:t>
            </w:r>
          </w:p>
        </w:tc>
      </w:tr>
      <w:tr>
        <w:trPr>
          <w:trHeight w:val="216"/>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27,736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28,819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09"/>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2,413,197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2,542,875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(129,678)</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(5.1)%</w:t>
            </w:r>
          </w:p>
        </w:tc>
      </w:tr>
      <w:tr>
        <w:trPr>
          <w:trHeight w:val="19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Compensation and benefits: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Field wages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561,482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568,593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7,111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1.3 %</w:t>
            </w:r>
          </w:p>
        </w:tc>
      </w:tr>
      <w:tr>
        <w:trPr>
          <w:trHeight w:val="217"/>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wages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200,715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204,817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5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Benefits and other compensation</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146,708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154,280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4.9 %</w:t>
            </w:r>
          </w:p>
        </w:tc>
      </w:tr>
      <w:tr>
        <w:trPr>
          <w:trHeight w:val="210"/>
        </w:trPr>
        <w:tc>
          <w:tcPr>
            <w:tcW w:w="5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908,905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927,690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306,523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309,638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3,115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advertising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223,796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107,462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117,036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9,574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8.2 %</w:t>
            </w:r>
          </w:p>
        </w:tc>
      </w:tr>
      <w:tr>
        <w:trPr>
          <w:trHeight w:val="217"/>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Bad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5"/>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373,458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340,328</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w:t>
            </w:r>
          </w:p>
        </w:tc>
      </w:tr>
      <w:tr>
        <w:trPr>
          <w:trHeight w:val="209"/>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1,979,904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1,971,939</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(7,965)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(1,502)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(43.0)%</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on borrowings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(69,661)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(78,657)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11.4 %</w:t>
            </w:r>
          </w:p>
        </w:tc>
      </w:tr>
      <w:tr>
        <w:trPr>
          <w:trHeight w:val="209"/>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Pretax income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365,621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495,770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(130,149)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(26.3)%</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29,666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50,997</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41.8 %</w:t>
            </w:r>
          </w:p>
        </w:tc>
      </w:tr>
      <w:tr>
        <w:trPr>
          <w:trHeight w:val="210"/>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335,955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444,773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(108,818)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(24.5)%</w:t>
            </w:r>
          </w:p>
        </w:tc>
      </w:tr>
      <w:tr>
        <w:trPr>
          <w:trHeight w:val="216"/>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0"/>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330,971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440,240</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(109,269)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(24.8)%</w:t>
            </w:r>
          </w:p>
        </w:tc>
      </w:tr>
      <w:tr>
        <w:trPr>
          <w:trHeight w:val="170"/>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PER SHARE:</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215"/>
        </w:trPr>
        <w:tc>
          <w:tcPr>
            <w:tcW w:w="5420" w:type="dxa"/>
            <w:vAlign w:val="bottom"/>
            <w:gridSpan w:val="2"/>
          </w:tcPr>
          <w:p>
            <w:pPr>
              <w:ind w:left="14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(0.43)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(18.3)%</w:t>
            </w:r>
          </w:p>
        </w:tc>
      </w:tr>
      <w:tr>
        <w:trPr>
          <w:trHeight w:val="216"/>
        </w:trPr>
        <w:tc>
          <w:tcPr>
            <w:tcW w:w="5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0"/>
        </w:trPr>
        <w:tc>
          <w:tcPr>
            <w:tcW w:w="5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Consolidated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(18.9)%</w:t>
            </w:r>
          </w:p>
        </w:tc>
      </w:tr>
      <w:tr>
        <w:trPr>
          <w:trHeight w:val="210"/>
        </w:trPr>
        <w:tc>
          <w:tcPr>
            <w:tcW w:w="542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diluted EPS</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50"/>
        </w:trPr>
        <w:tc>
          <w:tcPr>
            <w:tcW w:w="542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1"/>
                <w:szCs w:val="21"/>
                <w:color w:val="auto"/>
                <w:vertAlign w:val="superscript"/>
              </w:rPr>
              <w:t>(1)</w:t>
            </w:r>
          </w:p>
        </w:tc>
        <w:tc>
          <w:tcPr>
            <w:tcW w:w="3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542,744</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691,463</w:t>
            </w:r>
          </w:p>
        </w:tc>
        <w:tc>
          <w:tcPr>
            <w:tcW w:w="14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(148,719)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5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86"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non-GAAP measures are results from continuing operations. See "</w:t>
      </w:r>
      <w:hyperlink w:anchor="page28">
        <w:r>
          <w:rPr>
            <w:rFonts w:ascii="Arial" w:cs="Arial" w:eastAsia="Arial" w:hAnsi="Arial"/>
            <w:sz w:val="14"/>
            <w:szCs w:val="14"/>
            <w:u w:val="single" w:color="auto"/>
            <w:color w:val="0000FF"/>
          </w:rPr>
          <w:t>Non-GAAP Financial Information</w:t>
        </w:r>
      </w:hyperlink>
      <w:r>
        <w:rPr>
          <w:rFonts w:ascii="Arial" w:cs="Arial" w:eastAsia="Arial" w:hAnsi="Arial"/>
          <w:sz w:val="14"/>
          <w:szCs w:val="14"/>
          <w:color w:val="auto"/>
        </w:rPr>
        <w:t>" at the end of this item for a reconciliation of non-GAAP measures.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March 31, 2022 compared to March 31, 2021</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decreased $129.7 million, or 5.1%, from the prior year. The decrease in revenue is due to lower tax return volumes in the current year as the 2019 tax season was extended to July 15, 2020 in the prior year period, whereas the 2020 tax season deadline of May 17, 2021 did not extend into the nine month period ended March 31, 2022. This resulted in a decrease in U.S. tax preparation, royalty and Refund Transfer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214630"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60" w:hanging="263"/>
        <w:spacing w:after="0"/>
        <w:tabs>
          <w:tab w:leader="none" w:pos="360" w:val="left"/>
        </w:tabs>
        <w:numPr>
          <w:ilvl w:val="0"/>
          <w:numId w:val="18"/>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Emerald Card® revenues increased $7.7 million, or 8.0%, due to higher card activity which is a result of the IRS loading Child Tax Credits monthly to Emerald Cards® in July through December 2021. Interest and fees on Emerald Advances decreased $9.4 million, or 17.7%, due to a decline in Emerald Advances. Wave revenues increased $14.1 million, or 31.6%, due to higher small business payments processing volumes.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increased $8.0 million, or 0.4%, from the prior year period. Field wages decreased $7.1 million, or 1.3%, due to lower tax preparation volumes in the current year as a result of the tax season extension in the prior year. Benefits and other compensation decreased $7.6 million, or 4.9%, due to lower payroll taxes as a result of lower wages. Marketing and advertising expense increased $9.7 million, or 4.5%, due to higher online advertising and agency fees in the current year. Depreciation and amortization expense decreased $9.6 million, or 8.2%, due primarily to lower amortization of acquired intangibles.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$33.1 million, or 9.7%. The components of other expenses are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4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March 31,</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c>
          <w:tcPr>
            <w:tcW w:w="12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Change</w:t>
            </w:r>
          </w:p>
        </w:tc>
      </w:tr>
      <w:tr>
        <w:trPr>
          <w:trHeight w:val="209"/>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Consulting and outsourced services</w:t>
            </w: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99,870</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91,888</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(7,982)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Bank partner fees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26,344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Client claims and refunds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22,945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(2,015)</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(9.6)%</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and travel expenses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23,222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(32.7)%</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Technology-related expenses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69,998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61,596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(8,402)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(13.6)%</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Credit card/bank charges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63,441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53,788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Insurance</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11,780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(2,421)</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(25.9)%</w:t>
            </w:r>
          </w:p>
        </w:tc>
      </w:tr>
      <w:tr>
        <w:trPr>
          <w:trHeight w:val="21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Legal fees and settlements</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Supplies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22,161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26,463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4,302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16.3 %</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19,470</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249"/>
        </w:trPr>
        <w:tc>
          <w:tcPr>
            <w:tcW w:w="49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373,458</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340,328</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492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40" w:type="dxa"/>
            <w:vAlign w:val="bottom"/>
            <w:tcBorders>
              <w:top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Consulting and outsourced services expense increased $8.0 million, or 8.7%, due to higher call center expenses and data processing fees related to higher activity on Emerald Cards®. Technology-related expenses increased $8.4 million, or 13.6%, due to increased investments in information technology. Credit card and bank charges increased $9.7 million, or 17.9%, due to higher Wave small business payment processing fees and fees related to Emerald Cards®.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on borrowings decreased $9.0 million, or 11.4%, primarily due to higher CLOC borrowings in the prior year.</w:t>
      </w:r>
    </w:p>
    <w:p>
      <w:pPr>
        <w:spacing w:after="0" w:line="117" w:lineRule="exact"/>
        <w:rPr>
          <w:sz w:val="20"/>
          <w:szCs w:val="20"/>
          <w:color w:val="auto"/>
        </w:rPr>
      </w:pPr>
    </w:p>
    <w:p>
      <w:pPr>
        <w:jc w:val="both"/>
        <w:ind w:firstLine="243"/>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We recorded an income tax expense of $ 29.7 million in the current year compared to $ 51.0 million in the prior year, the decrease is primarily related to lower pretax income in the current year. The effective tax rate for the nine months ended March 31, 2022, and 2021 was 8.1% and 10.3%, respectively. See </w:t>
      </w:r>
      <w:hyperlink w:anchor="page14">
        <w:r>
          <w:rPr>
            <w:rFonts w:ascii="Arial" w:cs="Arial" w:eastAsia="Arial" w:hAnsi="Arial"/>
            <w:sz w:val="18"/>
            <w:szCs w:val="18"/>
            <w:u w:val="single" w:color="auto"/>
            <w:color w:val="0000FF"/>
          </w:rPr>
          <w:t>Item 1, 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for additional discussion.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1" w:lineRule="auto"/>
        <w:rPr>
          <w:rFonts w:ascii="Arial" w:cs="Arial" w:eastAsia="Arial" w:hAnsi="Arial"/>
          <w:sz w:val="18"/>
          <w:szCs w:val="18"/>
          <w:color w:val="0000FF"/>
        </w:rPr>
      </w:pPr>
      <w:r>
        <w:rPr>
          <w:rFonts w:ascii="Arial" w:cs="Arial" w:eastAsia="Arial" w:hAnsi="Arial"/>
          <w:sz w:val="18"/>
          <w:szCs w:val="18"/>
          <w:color w:val="auto"/>
        </w:rPr>
        <w:t xml:space="preserve">These comments should be read in conjunction with the consolidated balance sheets and consolidated statements of cash flows included in </w:t>
      </w:r>
      <w:hyperlink w:anchor="page4">
        <w:r>
          <w:rPr>
            <w:rFonts w:ascii="Arial" w:cs="Arial" w:eastAsia="Arial" w:hAnsi="Arial"/>
            <w:sz w:val="18"/>
            <w:szCs w:val="18"/>
            <w:u w:val="single" w:color="auto"/>
            <w:color w:val="0000FF"/>
          </w:rPr>
          <w:t>Part 1, Item 1</w:t>
        </w:r>
      </w:hyperlink>
      <w:r>
        <w:rPr>
          <w:rFonts w:ascii="Arial" w:cs="Arial" w:eastAsia="Arial" w:hAnsi="Arial"/>
          <w:sz w:val="18"/>
          <w:szCs w:val="18"/>
          <w:color w:val="000000"/>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85"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643255</wp:posOffset>
            </wp:positionV>
            <wp:extent cx="22288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January. We typically have relied on available cash balances from the prior tax season and borrowings to meet liquidity needs.</w:t>
      </w:r>
    </w:p>
    <w:p>
      <w:pPr>
        <w:spacing w:after="0" w:line="1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March 31, 2022 are sufficient to meet our operating, investing and financing needs.</w:t>
      </w:r>
    </w:p>
    <w:p>
      <w:pPr>
        <w:spacing w:after="0" w:line="68" w:lineRule="exact"/>
        <w:rPr>
          <w:sz w:val="20"/>
          <w:szCs w:val="20"/>
          <w:color w:val="auto"/>
        </w:rPr>
      </w:pPr>
    </w:p>
    <w:p>
      <w:pPr>
        <w:jc w:val="both"/>
        <w:ind w:right="20" w:firstLine="243"/>
        <w:spacing w:after="0" w:line="287" w:lineRule="auto"/>
        <w:rPr>
          <w:rFonts w:ascii="Arial" w:cs="Arial" w:eastAsia="Arial" w:hAnsi="Arial"/>
          <w:sz w:val="18"/>
          <w:szCs w:val="18"/>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nine months ended March 31, 2022 and 2021. See </w:t>
      </w:r>
      <w:hyperlink w:anchor="page4">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complete consolidated statements of cash flows for these periods.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Nine months ended March 31,</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07"/>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Net cash provided by (used in):</w:t>
            </w: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9"/>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activities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373,128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501,356</w:t>
            </w:r>
          </w:p>
        </w:tc>
      </w:tr>
      <w:tr>
        <w:trPr>
          <w:trHeight w:val="215"/>
        </w:trPr>
        <w:tc>
          <w:tcPr>
            <w:tcW w:w="6300" w:type="dxa"/>
            <w:vAlign w:val="bottom"/>
            <w:gridSpan w:val="2"/>
          </w:tcPr>
          <w:p>
            <w:pPr>
              <w:ind w:left="140"/>
              <w:spacing w:after="0"/>
              <w:rPr>
                <w:sz w:val="20"/>
                <w:szCs w:val="20"/>
                <w:color w:val="auto"/>
              </w:rPr>
            </w:pPr>
            <w:r>
              <w:rPr>
                <w:rFonts w:ascii="Arial" w:cs="Arial" w:eastAsia="Arial" w:hAnsi="Arial"/>
                <w:sz w:val="16"/>
                <w:szCs w:val="16"/>
                <w:color w:val="auto"/>
              </w:rPr>
              <w:t>Investing activities</w:t>
            </w:r>
          </w:p>
        </w:tc>
        <w:tc>
          <w:tcPr>
            <w:tcW w:w="9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(71,106)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(50,014)</w:t>
            </w:r>
          </w:p>
        </w:tc>
      </w:tr>
      <w:tr>
        <w:trPr>
          <w:trHeight w:val="217"/>
        </w:trPr>
        <w:tc>
          <w:tcPr>
            <w:tcW w:w="63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Financing activities</w:t>
            </w:r>
          </w:p>
        </w:tc>
        <w:tc>
          <w:tcPr>
            <w:tcW w:w="9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(707,466)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(2,356,266)</w:t>
            </w:r>
          </w:p>
        </w:tc>
      </w:tr>
      <w:tr>
        <w:trPr>
          <w:trHeight w:val="215"/>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Effects of exchange rates on cash</w:t>
            </w: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10,370</w:t>
            </w:r>
          </w:p>
        </w:tc>
      </w:tr>
      <w:tr>
        <w:trPr>
          <w:trHeight w:val="21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(407,110)</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(1,894,554)</w:t>
            </w:r>
          </w:p>
        </w:tc>
      </w:tr>
      <w:tr>
        <w:trPr>
          <w:trHeight w:val="34"/>
        </w:trPr>
        <w:tc>
          <w:tcPr>
            <w:tcW w:w="6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operations totaled $373.1 million for the nine months ended March 31, 2022 compared to $501.4</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 The change is primarily due to higher bonus and payroll tax payments and a decrease in net income in the current year, partially offset by the timing of receivables collections in the current year.</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$71.1 million for the nine months ended March 31, 2022 compared to $50.0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the prior year period. The change is primarily due to an increase in capital expenditures and payments to acquire businesses in the current year.</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used in financing activities totaled $707.5 million for the nine months ended March 31, 2022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$2.4 billion in the prior year period. The change is primarily due to the repayment of the $2.0 billion draw on our CLOC in the prior year, partially offset by higher share repurchases in the current year.</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is, and has historically been, a significant component of our capital allocation plan.</w:t>
      </w:r>
    </w:p>
    <w:p>
      <w:pPr>
        <w:spacing w:after="0" w:line="6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$143.4 million and $147.9 million for the nine months ended March 31, 2022 and 2021,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During the nine months ended March 31, 2022, we repurchased $ 550.3 million of our common stock at an average price of $23.84 per share. In the prior year period, we repurchased $188.2 million of our common stock at an average price of $16.29 per share. Our current share repurchase program has remaining authorization of $13.8 million which is effective through June 2022.</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spacing w:after="0" w:line="74" w:lineRule="exact"/>
        <w:rPr>
          <w:sz w:val="20"/>
          <w:szCs w:val="20"/>
          <w:color w:val="auto"/>
        </w:rPr>
      </w:pPr>
    </w:p>
    <w:p>
      <w:pPr>
        <w:jc w:val="both"/>
        <w:ind w:firstLine="254"/>
        <w:spacing w:after="0" w:line="262"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$ 52.7 million and $44.2 million for the nine months ended March 31, 2022 and 2021,</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21463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60" w:hanging="263"/>
        <w:spacing w:after="0"/>
        <w:tabs>
          <w:tab w:leader="none" w:pos="36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totaling $25.5 million and $ 15.5 million during the nine months ended March 31, 2022 and 2021, respectively. See </w:t>
      </w:r>
      <w:hyperlink w:anchor="page12">
        <w:r>
          <w:rPr>
            <w:rFonts w:ascii="Arial" w:cs="Arial" w:eastAsia="Arial" w:hAnsi="Arial"/>
            <w:sz w:val="18"/>
            <w:szCs w:val="18"/>
            <w:u w:val="single" w:color="auto"/>
            <w:color w:val="0000FF"/>
          </w:rPr>
          <w:t>Item 1, 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on our acquisitions.</w:t>
      </w:r>
    </w:p>
    <w:p>
      <w:pPr>
        <w:spacing w:after="0" w:line="68" w:lineRule="exact"/>
        <w:rPr>
          <w:sz w:val="20"/>
          <w:szCs w:val="20"/>
          <w:color w:val="auto"/>
        </w:rPr>
      </w:pPr>
    </w:p>
    <w:p>
      <w:pPr>
        <w:jc w:val="both"/>
        <w:ind w:firstLine="272"/>
        <w:spacing w:after="0" w:line="268"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The CLOC has capacity up to $1.5 billion and is scheduled to expire in June 2026. Proceeds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CLOC may be used for working capital needs or for other general corporate purposes. We had no outstanding balance under our CLOC and amounts available to borrow were limited by the debt-to-EBITDA covenant to approximately $427.5 million as of March 31, 2022.</w:t>
      </w:r>
    </w:p>
    <w:p>
      <w:pPr>
        <w:spacing w:after="0" w:line="8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On April 1, 2022, we sent a notice of redemption to the trustee to fully redeem our outstanding 2022 Senior Notes originally due in November 2022. The redemption price is equal to 100% of the outstanding principal amount of the 2022 Senior Notes, plus accrued and unpaid interest up to, but not including, the redemption date. The 2022 Senior Notes were redeemed on May 2, 2022.</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ratings for debt issued by Block Financial LLC (Block Financial) as of March 31, 2022 and June 30,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31, 2022</w:t>
            </w:r>
          </w:p>
        </w:tc>
        <w:tc>
          <w:tcPr>
            <w:tcW w:w="1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6"/>
                <w:szCs w:val="16"/>
                <w:color w:val="auto"/>
              </w:rPr>
              <w:t>June 30, 2021</w:t>
            </w:r>
          </w:p>
        </w:tc>
        <w:tc>
          <w:tcPr>
            <w:tcW w:w="1200" w:type="dxa"/>
            <w:vAlign w:val="bottom"/>
            <w:tcBorders>
              <w:top w:val="single" w:sz="8" w:color="auto"/>
              <w:bottom w:val="single" w:sz="8" w:color="auto"/>
            </w:tcBorders>
          </w:tcPr>
          <w:p>
            <w:pPr>
              <w:spacing w:after="0"/>
              <w:rPr>
                <w:sz w:val="19"/>
                <w:szCs w:val="19"/>
                <w:color w:val="auto"/>
              </w:rPr>
            </w:pPr>
          </w:p>
        </w:tc>
      </w:tr>
      <w:tr>
        <w:trPr>
          <w:trHeight w:val="207"/>
        </w:trPr>
        <w:tc>
          <w:tcPr>
            <w:tcW w:w="33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Short-term</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Long-term</w:t>
            </w:r>
          </w:p>
        </w:tc>
        <w:tc>
          <w:tcPr>
            <w:tcW w:w="1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Short-term</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Long-term</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12"/>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Moody's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P-3</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Baa3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Stable</w:t>
            </w: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P-3</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Baa3</w:t>
            </w:r>
          </w:p>
        </w:tc>
        <w:tc>
          <w:tcPr>
            <w:tcW w:w="120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216"/>
        </w:trPr>
        <w:tc>
          <w:tcPr>
            <w:tcW w:w="3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S&amp;P</w:t>
            </w:r>
          </w:p>
        </w:tc>
        <w:tc>
          <w:tcPr>
            <w:tcW w:w="130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A-2</w:t>
            </w:r>
          </w:p>
        </w:tc>
        <w:tc>
          <w:tcPr>
            <w:tcW w:w="13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BBB</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Stable</w:t>
            </w: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A-2</w:t>
            </w:r>
          </w:p>
        </w:tc>
        <w:tc>
          <w:tcPr>
            <w:tcW w:w="1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BBB</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bl>
    <w:p>
      <w:pPr>
        <w:spacing w:after="0" w:line="175"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in our April 30, 2021 Annual Report to Shareholders on Form 10-K or our June 30, 2021 Transition Report filed on Form 10-Q.</w:t>
      </w:r>
    </w:p>
    <w:p>
      <w:pPr>
        <w:spacing w:after="0" w:line="6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March 31, 2022, we held cash and cash equivalents, excluding restricted amounts, of $1.0 billion,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$131.8 million held by our foreign subsidiaries.</w:t>
      </w:r>
    </w:p>
    <w:p>
      <w:pPr>
        <w:spacing w:after="0" w:line="4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Seasonal borrowing needs of our Canadian operations are typically funded by our U.S. operations. To mitigate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currency risk, we sometimes enter into foreign exchange forward contracts. There were no forward contracts outstanding as of March 31, 2022.</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do not currently intend to repatriate non-borrowed funds held by our foreign subsidiaries in a manner that would trigger a material tax liability.</w:t>
      </w:r>
    </w:p>
    <w:p>
      <w:pPr>
        <w:spacing w:after="0" w:line="90"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an decrease of $1.7 million during the nine months ended March 31, 2022 and in an increase of $10.4 million during the nine months ended March 31, 2021.</w:t>
      </w:r>
    </w:p>
    <w:p>
      <w:pPr>
        <w:spacing w:after="0" w:line="68" w:lineRule="exact"/>
        <w:rPr>
          <w:sz w:val="20"/>
          <w:szCs w:val="20"/>
          <w:color w:val="auto"/>
        </w:rPr>
      </w:pPr>
    </w:p>
    <w:p>
      <w:pPr>
        <w:jc w:val="both"/>
        <w:ind w:firstLine="243"/>
        <w:spacing w:after="0" w:line="26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Except as described in</w:t>
      </w:r>
      <w:r>
        <w:rPr>
          <w:rFonts w:ascii="Arial" w:cs="Arial" w:eastAsia="Arial" w:hAnsi="Arial"/>
          <w:sz w:val="18"/>
          <w:szCs w:val="18"/>
          <w:b w:val="1"/>
          <w:bCs w:val="1"/>
          <w:color w:val="auto"/>
        </w:rPr>
        <w:t xml:space="preserve"> </w:t>
      </w:r>
      <w:hyperlink w:anchor="page20">
        <w:r>
          <w:rPr>
            <w:rFonts w:ascii="Arial" w:cs="Arial" w:eastAsia="Arial" w:hAnsi="Arial"/>
            <w:sz w:val="18"/>
            <w:szCs w:val="18"/>
            <w:u w:val="single" w:color="auto"/>
            <w:color w:val="0000FF"/>
          </w:rPr>
          <w:t>Recent Developments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color w:val="auto"/>
        </w:rPr>
        <w:t>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our</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PMA agreement with Meta, there have been no material changes in our contractual obligations and commercial commitments from those reported in our April 30, 2021 Annual Report to Shareholders on Form 10-K or our June 30, 2021 Transition Report filed on Form 10-Q.</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SUMMARIZED GUARANTOR FINANCIAL STATEMENTS </w:t>
      </w:r>
      <w:r>
        <w:rPr>
          <w:rFonts w:ascii="Arial" w:cs="Arial" w:eastAsia="Arial" w:hAnsi="Arial"/>
          <w:sz w:val="18"/>
          <w:szCs w:val="18"/>
          <w:color w:val="auto"/>
        </w:rPr>
        <w:t>– Block Financial is a 100% owned subsidiary of H&amp;R Block, Inc. Block</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is the Issuer and H&amp;R Block, Inc. is the full and unconditional Guarantor of our Senior Notes, CLOC and other indebtedness issued from time to time.</w:t>
      </w:r>
    </w:p>
    <w:p>
      <w:pPr>
        <w:spacing w:after="0" w:line="8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table presents summarized financial information for H&amp;R Block, Inc. (Guarantor) and Block Financial (Issuer) on a combined basis after intercompany eliminations and excludes investments in and equity earnings in non-guarantor subsidiaries.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BALANCE SHEET - GUARANTOR AND ISSUER</w:t>
            </w:r>
          </w:p>
        </w:tc>
        <w:tc>
          <w:tcPr>
            <w:tcW w:w="5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June 30, 2021</w:t>
            </w:r>
          </w:p>
        </w:tc>
      </w:tr>
      <w:tr>
        <w:trPr>
          <w:trHeight w:val="210"/>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60,543</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50,737</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2,182,280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2,155,650</w:t>
            </w:r>
          </w:p>
        </w:tc>
      </w:tr>
      <w:tr>
        <w:trPr>
          <w:trHeight w:val="215"/>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5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583,051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20" w:type="dxa"/>
            <w:vAlign w:val="bottom"/>
          </w:tcPr>
          <w:p>
            <w:pPr>
              <w:jc w:val="right"/>
              <w:ind w:right="1"/>
              <w:spacing w:after="0"/>
              <w:rPr>
                <w:sz w:val="20"/>
                <w:szCs w:val="20"/>
                <w:color w:val="auto"/>
              </w:rPr>
            </w:pPr>
            <w:r>
              <w:rPr>
                <w:rFonts w:ascii="Arial" w:cs="Arial" w:eastAsia="Arial" w:hAnsi="Arial"/>
                <w:sz w:val="16"/>
                <w:szCs w:val="16"/>
                <w:color w:val="auto"/>
              </w:rPr>
              <w:t>81,388</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1,496,156</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1,994,582</w:t>
            </w:r>
          </w:p>
        </w:tc>
      </w:tr>
      <w:tr>
        <w:trPr>
          <w:trHeight w:val="54"/>
        </w:trPr>
        <w:tc>
          <w:tcPr>
            <w:tcW w:w="6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702945</wp:posOffset>
            </wp:positionV>
            <wp:extent cx="222885" cy="1200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SUMMARIZED STATEMENTS OF OPERATIONS - GUARANTOR AND ISSUER</w:t>
            </w:r>
          </w:p>
        </w:tc>
        <w:tc>
          <w:tcPr>
            <w:tcW w:w="7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156"/>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gridSpan w:val="3"/>
          </w:tcPr>
          <w:p>
            <w:pPr>
              <w:jc w:val="right"/>
              <w:ind w:right="120"/>
              <w:spacing w:after="0" w:line="155" w:lineRule="exact"/>
              <w:rPr>
                <w:sz w:val="20"/>
                <w:szCs w:val="20"/>
                <w:color w:val="auto"/>
              </w:rPr>
            </w:pPr>
            <w:r>
              <w:rPr>
                <w:rFonts w:ascii="Arial" w:cs="Arial" w:eastAsia="Arial" w:hAnsi="Arial"/>
                <w:sz w:val="16"/>
                <w:szCs w:val="16"/>
                <w:b w:val="1"/>
                <w:bCs w:val="1"/>
                <w:color w:val="auto"/>
              </w:rPr>
              <w:t>Nine months ended March</w:t>
            </w:r>
          </w:p>
        </w:tc>
        <w:tc>
          <w:tcPr>
            <w:tcW w:w="2100" w:type="dxa"/>
            <w:vAlign w:val="bottom"/>
            <w:gridSpan w:val="2"/>
          </w:tcPr>
          <w:p>
            <w:pPr>
              <w:jc w:val="right"/>
              <w:spacing w:after="0" w:line="155" w:lineRule="exact"/>
              <w:rPr>
                <w:sz w:val="20"/>
                <w:szCs w:val="20"/>
                <w:color w:val="auto"/>
              </w:rPr>
            </w:pPr>
            <w:r>
              <w:rPr>
                <w:rFonts w:ascii="Arial" w:cs="Arial" w:eastAsia="Arial" w:hAnsi="Arial"/>
                <w:sz w:val="16"/>
                <w:szCs w:val="16"/>
                <w:color w:val="auto"/>
              </w:rPr>
              <w:t>Two months ended June 30,</w:t>
            </w:r>
          </w:p>
        </w:tc>
      </w:tr>
      <w:tr>
        <w:trPr>
          <w:trHeight w:val="215"/>
        </w:trPr>
        <w:tc>
          <w:tcPr>
            <w:tcW w:w="6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31, 2022</w:t>
            </w:r>
          </w:p>
        </w:tc>
        <w:tc>
          <w:tcPr>
            <w:tcW w:w="1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09"/>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169,944</w:t>
            </w:r>
          </w:p>
        </w:tc>
        <w:tc>
          <w:tcPr>
            <w:tcW w:w="10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22,978</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39,127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2,504</w:t>
            </w:r>
          </w:p>
        </w:tc>
      </w:tr>
      <w:tr>
        <w:trPr>
          <w:trHeight w:val="215"/>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Net income from continuing operations</w:t>
            </w:r>
          </w:p>
        </w:tc>
        <w:tc>
          <w:tcPr>
            <w:tcW w:w="7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34,745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2,953</w:t>
            </w:r>
          </w:p>
        </w:tc>
      </w:tr>
      <w:tr>
        <w:trPr>
          <w:trHeight w:val="217"/>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29,760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1,444</w:t>
            </w:r>
          </w:p>
        </w:tc>
      </w:tr>
      <w:tr>
        <w:trPr>
          <w:trHeight w:val="54"/>
        </w:trPr>
        <w:tc>
          <w:tcPr>
            <w:tcW w:w="6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table above reflects $2.1 billion of non-current intercompany receivables due to the Issuer from non-guarantor subsidiaries as of March 31, 2022 and June 30,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in 2017 the Consumer Financial Protection Bureau (CFPB) published its final rule regulating certain consumer credit products (Payday Rule), which the CFPB later limited by removing the mandatory underwriting provisions. Certain limited provisions of the Payday Rule became effective in 2018, but most provisions were scheduled to go into effect in 2019. Litigation in a federal district court in Texas had stayed that effective date, but on August 31, 2021 the judge in that litigation ruled in favor of the CFPB. The plaintiffs appealed, and, on October 14, 2021, the United States Court of Appeals for the Fifth Circuit extended the compliance deadline until after the appeal is resolved.</w:t>
      </w:r>
    </w:p>
    <w:p>
      <w:pPr>
        <w:spacing w:after="0" w:line="100" w:lineRule="exact"/>
        <w:rPr>
          <w:sz w:val="20"/>
          <w:szCs w:val="20"/>
          <w:color w:val="auto"/>
        </w:rPr>
      </w:pPr>
    </w:p>
    <w:p>
      <w:pPr>
        <w:jc w:val="both"/>
        <w:ind w:firstLine="243"/>
        <w:spacing w:after="0" w:line="219" w:lineRule="auto"/>
        <w:rPr>
          <w:sz w:val="20"/>
          <w:szCs w:val="20"/>
          <w:color w:val="auto"/>
        </w:rPr>
      </w:pPr>
      <w:r>
        <w:rPr>
          <w:rFonts w:ascii="Arial" w:cs="Arial" w:eastAsia="Arial" w:hAnsi="Arial"/>
          <w:sz w:val="18"/>
          <w:szCs w:val="18"/>
          <w:color w:val="auto"/>
        </w:rPr>
        <w:t>We are unsure whether, when, or in what form the Payday Rule will go into effect. Though we do not currently expect the Payday Rule to have a material adverse impact on Emerald Advance</w:t>
      </w:r>
      <w:r>
        <w:rPr>
          <w:rFonts w:ascii="Arial" w:cs="Arial" w:eastAsia="Arial" w:hAnsi="Arial"/>
          <w:sz w:val="23"/>
          <w:szCs w:val="23"/>
          <w:color w:val="auto"/>
          <w:vertAlign w:val="superscript"/>
        </w:rPr>
        <w:t>SM</w:t>
      </w:r>
      <w:r>
        <w:rPr>
          <w:rFonts w:ascii="Arial" w:cs="Arial" w:eastAsia="Arial" w:hAnsi="Arial"/>
          <w:sz w:val="18"/>
          <w:szCs w:val="18"/>
          <w:color w:val="auto"/>
        </w:rPr>
        <w:t>, our business, or our consolidated financial position, results of operations, and cash flows, we will continue to monitor and analyze the potential impact of any further developments on the Company.</w:t>
      </w:r>
    </w:p>
    <w:p>
      <w:pPr>
        <w:spacing w:after="0" w:line="9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There have been no other material changes in our regulatory environment from what was reported in our April 30, 2021 Annual Report to Shareholders on Form 10-K or our June 30, 2021 Transition Report filed on Form 10-Q.</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spacing w:after="0" w:line="9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adjusted EBITDA from continuing operations, EBITDA margin from continuing operations, adjusted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636270</wp:posOffset>
            </wp:positionV>
            <wp:extent cx="214630"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60" w:hanging="263"/>
        <w:spacing w:after="0"/>
        <w:tabs>
          <w:tab w:leader="none" w:pos="360" w:val="left"/>
        </w:tabs>
        <w:numPr>
          <w:ilvl w:val="0"/>
          <w:numId w:val="20"/>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net income to EBITDA from continuing operations, which is a non-GAAP financial measure: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w:t>
            </w:r>
          </w:p>
        </w:tc>
      </w:tr>
      <w:tr>
        <w:trPr>
          <w:trHeight w:val="207"/>
        </w:trPr>
        <w:tc>
          <w:tcPr>
            <w:tcW w:w="4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60" w:type="dxa"/>
            <w:vAlign w:val="bottom"/>
            <w:gridSpan w:val="5"/>
          </w:tcPr>
          <w:p>
            <w:pPr>
              <w:ind w:left="180"/>
              <w:spacing w:after="0"/>
              <w:rPr>
                <w:sz w:val="20"/>
                <w:szCs w:val="20"/>
                <w:color w:val="auto"/>
              </w:rPr>
            </w:pPr>
            <w:r>
              <w:rPr>
                <w:rFonts w:ascii="Arial" w:cs="Arial" w:eastAsia="Arial" w:hAnsi="Arial"/>
                <w:sz w:val="16"/>
                <w:szCs w:val="16"/>
                <w:color w:val="auto"/>
              </w:rPr>
              <w:t>Three months ended March 31,</w:t>
            </w:r>
          </w:p>
        </w:tc>
        <w:tc>
          <w:tcPr>
            <w:tcW w:w="340" w:type="dxa"/>
            <w:vAlign w:val="bottom"/>
          </w:tcPr>
          <w:p>
            <w:pPr>
              <w:spacing w:after="0"/>
              <w:rPr>
                <w:sz w:val="17"/>
                <w:szCs w:val="17"/>
                <w:color w:val="auto"/>
              </w:rPr>
            </w:pPr>
          </w:p>
        </w:tc>
        <w:tc>
          <w:tcPr>
            <w:tcW w:w="2960" w:type="dxa"/>
            <w:vAlign w:val="bottom"/>
            <w:gridSpan w:val="4"/>
          </w:tcPr>
          <w:p>
            <w:pPr>
              <w:jc w:val="right"/>
              <w:ind w:right="480"/>
              <w:spacing w:after="0"/>
              <w:rPr>
                <w:sz w:val="20"/>
                <w:szCs w:val="20"/>
                <w:color w:val="auto"/>
              </w:rPr>
            </w:pPr>
            <w:r>
              <w:rPr>
                <w:rFonts w:ascii="Arial" w:cs="Arial" w:eastAsia="Arial" w:hAnsi="Arial"/>
                <w:sz w:val="16"/>
                <w:szCs w:val="16"/>
                <w:color w:val="auto"/>
              </w:rPr>
              <w:t>Nine months ended March 31,</w:t>
            </w:r>
          </w:p>
        </w:tc>
      </w:tr>
      <w:tr>
        <w:trPr>
          <w:trHeight w:val="212"/>
        </w:trPr>
        <w:tc>
          <w:tcPr>
            <w:tcW w:w="4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Net income - as reported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673,177</w:t>
            </w:r>
          </w:p>
        </w:tc>
        <w:tc>
          <w:tcPr>
            <w:tcW w:w="8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758,247</w:t>
            </w:r>
          </w:p>
        </w:tc>
        <w:tc>
          <w:tcPr>
            <w:tcW w:w="12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330,971</w:t>
            </w:r>
          </w:p>
        </w:tc>
        <w:tc>
          <w:tcPr>
            <w:tcW w:w="12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440,240</w:t>
            </w: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Discontinued operations, net</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1,796</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4,984</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r>
      <w:tr>
        <w:trPr>
          <w:trHeight w:val="210"/>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income from continuing operations - as reported</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674,973</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759,672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335,955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444,773</w:t>
            </w:r>
          </w:p>
        </w:tc>
      </w:tr>
      <w:tr>
        <w:trPr>
          <w:trHeight w:val="197"/>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Add back:</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5"/>
        </w:trPr>
        <w:tc>
          <w:tcPr>
            <w:tcW w:w="4580" w:type="dxa"/>
            <w:vAlign w:val="bottom"/>
            <w:gridSpan w:val="2"/>
          </w:tcPr>
          <w:p>
            <w:pPr>
              <w:ind w:left="14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186,884</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69,543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29,666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50,997</w:t>
            </w:r>
          </w:p>
        </w:tc>
      </w:tr>
      <w:tr>
        <w:trPr>
          <w:trHeight w:val="217"/>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23,746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69,661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78,657</w:t>
            </w:r>
          </w:p>
        </w:tc>
      </w:tr>
      <w:tr>
        <w:trPr>
          <w:trHeight w:val="215"/>
        </w:trPr>
        <w:tc>
          <w:tcPr>
            <w:tcW w:w="45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36,116</w:t>
            </w: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39,100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107,462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117,036</w:t>
            </w:r>
          </w:p>
        </w:tc>
      </w:tr>
      <w:tr>
        <w:trPr>
          <w:trHeight w:val="209"/>
        </w:trPr>
        <w:tc>
          <w:tcPr>
            <w:tcW w:w="4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246,746</w:t>
            </w: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206,789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246,690</w:t>
            </w:r>
          </w:p>
        </w:tc>
      </w:tr>
      <w:tr>
        <w:trPr>
          <w:trHeight w:val="249"/>
        </w:trPr>
        <w:tc>
          <w:tcPr>
            <w:tcW w:w="4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EBITDA from continuing operations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921,719</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890,786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542,744</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691,463</w:t>
            </w:r>
          </w:p>
        </w:tc>
      </w:tr>
      <w:tr>
        <w:trPr>
          <w:trHeight w:val="20"/>
        </w:trPr>
        <w:tc>
          <w:tcPr>
            <w:tcW w:w="444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240" w:type="dxa"/>
            <w:vAlign w:val="bottom"/>
            <w:tcBorders>
              <w:top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1080" w:type="dxa"/>
            <w:vAlign w:val="bottom"/>
            <w:tcBorders>
              <w:top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following is a reconciliation of our results from continuing operations to our adjusted results from continuing operations, which is a non-GAAP financial measure:</w:t>
      </w:r>
    </w:p>
    <w:p>
      <w:pPr>
        <w:spacing w:after="0" w:line="55"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(in 000s, except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5"/>
          </w:tcPr>
          <w:p>
            <w:pPr>
              <w:ind w:left="200"/>
              <w:spacing w:after="0"/>
              <w:rPr>
                <w:sz w:val="20"/>
                <w:szCs w:val="20"/>
                <w:color w:val="auto"/>
              </w:rPr>
            </w:pPr>
            <w:r>
              <w:rPr>
                <w:rFonts w:ascii="Arial" w:cs="Arial" w:eastAsia="Arial" w:hAnsi="Arial"/>
                <w:sz w:val="16"/>
                <w:szCs w:val="16"/>
                <w:color w:val="auto"/>
              </w:rPr>
              <w:t>Three months ended March 31,</w:t>
            </w:r>
          </w:p>
        </w:tc>
        <w:tc>
          <w:tcPr>
            <w:tcW w:w="34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4"/>
          </w:tcPr>
          <w:p>
            <w:pPr>
              <w:jc w:val="right"/>
              <w:ind w:right="479"/>
              <w:spacing w:after="0"/>
              <w:rPr>
                <w:sz w:val="20"/>
                <w:szCs w:val="20"/>
                <w:color w:val="auto"/>
              </w:rPr>
            </w:pPr>
            <w:r>
              <w:rPr>
                <w:rFonts w:ascii="Arial" w:cs="Arial" w:eastAsia="Arial" w:hAnsi="Arial"/>
                <w:sz w:val="16"/>
                <w:szCs w:val="16"/>
                <w:color w:val="auto"/>
              </w:rPr>
              <w:t>Nine months ended March 31,</w:t>
            </w:r>
          </w:p>
        </w:tc>
        <w:tc>
          <w:tcPr>
            <w:tcW w:w="0" w:type="dxa"/>
            <w:vAlign w:val="bottom"/>
          </w:tcPr>
          <w:p>
            <w:pPr>
              <w:spacing w:after="0"/>
              <w:rPr>
                <w:sz w:val="1"/>
                <w:szCs w:val="1"/>
                <w:color w:val="auto"/>
              </w:rPr>
            </w:pPr>
          </w:p>
        </w:tc>
      </w:tr>
      <w:tr>
        <w:trPr>
          <w:trHeight w:val="212"/>
        </w:trPr>
        <w:tc>
          <w:tcPr>
            <w:tcW w:w="4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9"/>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Net income from continuing operations - as reported</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674,973</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759,672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335,955</w:t>
            </w:r>
          </w:p>
        </w:tc>
        <w:tc>
          <w:tcPr>
            <w:tcW w:w="12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444,773</w:t>
            </w:r>
          </w:p>
        </w:tc>
        <w:tc>
          <w:tcPr>
            <w:tcW w:w="0" w:type="dxa"/>
            <w:vAlign w:val="bottom"/>
          </w:tcPr>
          <w:p>
            <w:pPr>
              <w:spacing w:after="0"/>
              <w:rPr>
                <w:sz w:val="1"/>
                <w:szCs w:val="1"/>
                <w:color w:val="auto"/>
              </w:rPr>
            </w:pPr>
          </w:p>
        </w:tc>
      </w:tr>
      <w:tr>
        <w:trPr>
          <w:trHeight w:val="217"/>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gridSpan w:val="2"/>
          </w:tcPr>
          <w:p>
            <w:pPr>
              <w:ind w:left="140"/>
              <w:spacing w:after="0"/>
              <w:rPr>
                <w:sz w:val="20"/>
                <w:szCs w:val="20"/>
                <w:color w:val="auto"/>
              </w:rPr>
            </w:pPr>
            <w:r>
              <w:rPr>
                <w:rFonts w:ascii="Arial" w:cs="Arial" w:eastAsia="Arial" w:hAnsi="Arial"/>
                <w:sz w:val="16"/>
                <w:szCs w:val="16"/>
                <w:color w:val="auto"/>
              </w:rPr>
              <w:t>Amortization of intangibles related to acquisitions (pretax)</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13,979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43,141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50,398</w:t>
            </w:r>
          </w:p>
        </w:tc>
        <w:tc>
          <w:tcPr>
            <w:tcW w:w="0" w:type="dxa"/>
            <w:vAlign w:val="bottom"/>
          </w:tcPr>
          <w:p>
            <w:pPr>
              <w:spacing w:after="0"/>
              <w:rPr>
                <w:sz w:val="1"/>
                <w:szCs w:val="1"/>
                <w:color w:val="auto"/>
              </w:rPr>
            </w:pPr>
          </w:p>
        </w:tc>
      </w:tr>
      <w:tr>
        <w:trPr>
          <w:trHeight w:val="217"/>
        </w:trPr>
        <w:tc>
          <w:tcPr>
            <w:tcW w:w="4560" w:type="dxa"/>
            <w:vAlign w:val="bottom"/>
            <w:gridSpan w:val="2"/>
            <w:shd w:val="clear" w:color="auto" w:fill="CCEEFF"/>
          </w:tcPr>
          <w:p>
            <w:pPr>
              <w:ind w:left="140"/>
              <w:spacing w:after="0" w:line="217"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(4,545)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(11,699)</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(10,102)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(11,467)</w:t>
            </w:r>
          </w:p>
        </w:tc>
        <w:tc>
          <w:tcPr>
            <w:tcW w:w="0" w:type="dxa"/>
            <w:vAlign w:val="bottom"/>
          </w:tcPr>
          <w:p>
            <w:pPr>
              <w:spacing w:after="0"/>
              <w:rPr>
                <w:sz w:val="1"/>
                <w:szCs w:val="1"/>
                <w:color w:val="auto"/>
              </w:rPr>
            </w:pPr>
          </w:p>
        </w:tc>
      </w:tr>
      <w:tr>
        <w:trPr>
          <w:trHeight w:val="209"/>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Adjusted net income from continuing operations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684,407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764,202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368,994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483,704</w:t>
            </w:r>
          </w:p>
        </w:tc>
        <w:tc>
          <w:tcPr>
            <w:tcW w:w="0" w:type="dxa"/>
            <w:vAlign w:val="bottom"/>
          </w:tcPr>
          <w:p>
            <w:pPr>
              <w:spacing w:after="0"/>
              <w:rPr>
                <w:sz w:val="1"/>
                <w:szCs w:val="1"/>
                <w:color w:val="auto"/>
              </w:rPr>
            </w:pPr>
          </w:p>
        </w:tc>
      </w:tr>
      <w:tr>
        <w:trPr>
          <w:trHeight w:val="158"/>
        </w:trPr>
        <w:tc>
          <w:tcPr>
            <w:tcW w:w="45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Diluted earnings per share from continuing operations - as</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4.06</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1.92</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reported</w:t>
            </w:r>
          </w:p>
        </w:tc>
        <w:tc>
          <w:tcPr>
            <w:tcW w:w="30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Adjustments, net of tax</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0.05</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0.19</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158"/>
        </w:trPr>
        <w:tc>
          <w:tcPr>
            <w:tcW w:w="45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Adjusted diluted earnings per share from continuing</w:t>
            </w: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4.11</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2.11</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operations</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34"/>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Tax effect of adjustments is the difference between the tax provision calculated on a GAAP basis and on an adjusted non-GAAP basis.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640080</wp:posOffset>
            </wp:positionV>
            <wp:extent cx="222885"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spacing w:after="0" w:line="9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spacing w:after="0" w:line="9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2021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2021.</w:t>
      </w:r>
    </w:p>
    <w:p>
      <w:pPr>
        <w:spacing w:after="0" w:line="66"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3.</w:t>
      </w:r>
      <w:r>
        <w:rPr>
          <w:sz w:val="20"/>
          <w:szCs w:val="20"/>
          <w:color w:val="auto"/>
        </w:rPr>
        <w:tab/>
      </w:r>
      <w:r>
        <w:rPr>
          <w:rFonts w:ascii="Arial" w:cs="Arial" w:eastAsia="Arial" w:hAnsi="Arial"/>
          <w:sz w:val="24"/>
          <w:szCs w:val="24"/>
          <w:b w:val="1"/>
          <w:bCs w:val="1"/>
          <w:color w:val="14AA40"/>
        </w:rPr>
        <w:t>QUANTITATIVE AND QUALITATIVE DISCLOSURES ABOUT MARKET RISK</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have been no material changes in our market risks from those reported in our April 30, 2021 Annual Report to Shareholders on Form 10-K or our June 30, 2021 Transition Report filed on Form 10-Q.</w:t>
      </w:r>
    </w:p>
    <w:p>
      <w:pPr>
        <w:spacing w:after="0" w:line="60"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4.</w:t>
        <w:tab/>
        <w:t>CONTROLS AND PROCEDURES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2022 that materially affected, or are reasonably likely to materially affect, our internal control over financial reporting.</w:t>
      </w:r>
    </w:p>
    <w:p>
      <w:pPr>
        <w:spacing w:after="0" w:line="3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PART II</w:t>
        <w:tab/>
        <w:t>OTHER INFORMATION</w:t>
      </w:r>
    </w:p>
    <w:p>
      <w:pPr>
        <w:spacing w:after="0" w:line="118"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1.</w:t>
        <w:tab/>
        <w:t>LEGAL PROCEEDINGS</w:t>
      </w:r>
    </w:p>
    <w:p>
      <w:pPr>
        <w:spacing w:after="0" w:line="14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 description of our material pending legal proceedings, see discussion in </w:t>
      </w:r>
      <w:hyperlink w:anchor="page16">
        <w:r>
          <w:rPr>
            <w:rFonts w:ascii="Arial" w:cs="Arial" w:eastAsia="Arial" w:hAnsi="Arial"/>
            <w:sz w:val="18"/>
            <w:szCs w:val="18"/>
            <w:u w:val="single" w:color="auto"/>
            <w:color w:val="0000FF"/>
          </w:rPr>
          <w:t>Part I, Item 1, 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w:t>
      </w:r>
    </w:p>
    <w:p>
      <w:pPr>
        <w:spacing w:after="0" w:line="87"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14AA40"/>
        </w:rPr>
        <w:t>ITEM 1A.</w:t>
      </w:r>
      <w:r>
        <w:rPr>
          <w:sz w:val="20"/>
          <w:szCs w:val="20"/>
          <w:color w:val="auto"/>
        </w:rPr>
        <w:tab/>
      </w:r>
      <w:r>
        <w:rPr>
          <w:rFonts w:ascii="Arial" w:cs="Arial" w:eastAsia="Arial" w:hAnsi="Arial"/>
          <w:sz w:val="24"/>
          <w:szCs w:val="24"/>
          <w:b w:val="1"/>
          <w:bCs w:val="1"/>
          <w:color w:val="14AA40"/>
        </w:rPr>
        <w:t>RISK FACTORS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risk factors from those reported in our April 30, 2021 Annual Report to Shareholders on Form 10-K or our June 30, 2021 Transition Report filed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21463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0" w:hanging="263"/>
        <w:spacing w:after="0"/>
        <w:tabs>
          <w:tab w:leader="none" w:pos="36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2.</w:t>
        <w:tab/>
        <w:t>UNREGISTERED SALES OF EQUITY SECURITIES AND USE OF PROCEEDS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three months ended March 31, 2022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(in 000s, except per share amounts)</w:t>
            </w:r>
          </w:p>
        </w:tc>
      </w:tr>
      <w:tr>
        <w:trPr>
          <w:trHeight w:val="225"/>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6"/>
                <w:szCs w:val="16"/>
                <w:color w:val="auto"/>
              </w:rPr>
              <w:t>Maximum Dollar Value of</w:t>
            </w: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Average</w:t>
            </w:r>
          </w:p>
        </w:tc>
        <w:tc>
          <w:tcPr>
            <w:tcW w:w="2460" w:type="dxa"/>
            <w:vAlign w:val="bottom"/>
          </w:tcPr>
          <w:p>
            <w:pPr>
              <w:jc w:val="right"/>
              <w:spacing w:after="0" w:line="162" w:lineRule="exact"/>
              <w:rPr>
                <w:sz w:val="20"/>
                <w:szCs w:val="20"/>
                <w:color w:val="auto"/>
              </w:rPr>
            </w:pPr>
            <w:r>
              <w:rPr>
                <w:rFonts w:ascii="Arial" w:cs="Arial" w:eastAsia="Arial" w:hAnsi="Arial"/>
                <w:sz w:val="16"/>
                <w:szCs w:val="16"/>
                <w:color w:val="auto"/>
              </w:rPr>
              <w:t>Purchased as Part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tcPr>
          <w:p>
            <w:pPr>
              <w:jc w:val="right"/>
              <w:spacing w:after="0" w:line="162" w:lineRule="exact"/>
              <w:rPr>
                <w:sz w:val="20"/>
                <w:szCs w:val="20"/>
                <w:color w:val="auto"/>
              </w:rPr>
            </w:pPr>
            <w:r>
              <w:rPr>
                <w:rFonts w:ascii="Arial" w:cs="Arial" w:eastAsia="Arial" w:hAnsi="Arial"/>
                <w:sz w:val="16"/>
                <w:szCs w:val="16"/>
                <w:color w:val="auto"/>
              </w:rPr>
              <w:t>Shares that May Yet Be</w:t>
            </w:r>
          </w:p>
        </w:tc>
      </w:tr>
      <w:tr>
        <w:trPr>
          <w:trHeight w:val="147"/>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jc w:val="right"/>
              <w:spacing w:after="0" w:line="147" w:lineRule="exact"/>
              <w:rPr>
                <w:sz w:val="20"/>
                <w:szCs w:val="20"/>
                <w:color w:val="auto"/>
              </w:rPr>
            </w:pPr>
            <w:r>
              <w:rPr>
                <w:rFonts w:ascii="Arial" w:cs="Arial" w:eastAsia="Arial" w:hAnsi="Arial"/>
                <w:sz w:val="16"/>
                <w:szCs w:val="16"/>
                <w:color w:val="auto"/>
              </w:rPr>
              <w:t>Total Number of</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40"/>
              <w:spacing w:after="0" w:line="147" w:lineRule="exact"/>
              <w:rPr>
                <w:sz w:val="20"/>
                <w:szCs w:val="20"/>
                <w:color w:val="auto"/>
              </w:rPr>
            </w:pPr>
            <w:r>
              <w:rPr>
                <w:rFonts w:ascii="Arial" w:cs="Arial" w:eastAsia="Arial" w:hAnsi="Arial"/>
                <w:sz w:val="16"/>
                <w:szCs w:val="16"/>
                <w:color w:val="auto"/>
              </w:rPr>
              <w:t>Price Paid</w:t>
            </w:r>
          </w:p>
        </w:tc>
        <w:tc>
          <w:tcPr>
            <w:tcW w:w="2460" w:type="dxa"/>
            <w:vAlign w:val="bottom"/>
          </w:tcPr>
          <w:p>
            <w:pPr>
              <w:jc w:val="right"/>
              <w:spacing w:after="0" w:line="147" w:lineRule="exact"/>
              <w:rPr>
                <w:sz w:val="20"/>
                <w:szCs w:val="20"/>
                <w:color w:val="auto"/>
              </w:rPr>
            </w:pPr>
            <w:r>
              <w:rPr>
                <w:rFonts w:ascii="Arial" w:cs="Arial" w:eastAsia="Arial" w:hAnsi="Arial"/>
                <w:sz w:val="16"/>
                <w:szCs w:val="16"/>
                <w:color w:val="auto"/>
              </w:rPr>
              <w:t>Publicly Announced Plans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40" w:type="dxa"/>
            <w:vAlign w:val="bottom"/>
          </w:tcPr>
          <w:p>
            <w:pPr>
              <w:jc w:val="right"/>
              <w:spacing w:after="0" w:line="147" w:lineRule="exact"/>
              <w:rPr>
                <w:sz w:val="20"/>
                <w:szCs w:val="20"/>
                <w:color w:val="auto"/>
              </w:rPr>
            </w:pPr>
            <w:r>
              <w:rPr>
                <w:rFonts w:ascii="Arial" w:cs="Arial" w:eastAsia="Arial" w:hAnsi="Arial"/>
                <w:sz w:val="16"/>
                <w:szCs w:val="16"/>
                <w:color w:val="auto"/>
              </w:rPr>
              <w:t>Purchased Under the Plans</w:t>
            </w:r>
          </w:p>
        </w:tc>
      </w:tr>
      <w:tr>
        <w:trPr>
          <w:trHeight w:val="216"/>
        </w:trPr>
        <w:tc>
          <w:tcPr>
            <w:tcW w:w="2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1"/>
                <w:szCs w:val="21"/>
                <w:color w:val="auto"/>
                <w:vertAlign w:val="superscript"/>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per Share</w:t>
            </w:r>
          </w:p>
        </w:tc>
        <w:tc>
          <w:tcPr>
            <w:tcW w:w="120" w:type="dxa"/>
            <w:vAlign w:val="bottom"/>
          </w:tcPr>
          <w:p>
            <w:pPr>
              <w:spacing w:after="0"/>
              <w:rPr>
                <w:sz w:val="18"/>
                <w:szCs w:val="18"/>
                <w:color w:val="auto"/>
              </w:rPr>
            </w:pPr>
          </w:p>
        </w:tc>
        <w:tc>
          <w:tcPr>
            <w:tcW w:w="246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1"/>
                <w:szCs w:val="21"/>
                <w:color w:val="auto"/>
                <w:vertAlign w:val="superscript"/>
              </w:rPr>
              <w:t>(2)</w:t>
            </w:r>
          </w:p>
        </w:tc>
      </w:tr>
      <w:tr>
        <w:trPr>
          <w:trHeight w:val="209"/>
        </w:trPr>
        <w:tc>
          <w:tcPr>
            <w:tcW w:w="2780" w:type="dxa"/>
            <w:vAlign w:val="bottom"/>
            <w:gridSpan w:val="2"/>
          </w:tcPr>
          <w:p>
            <w:pPr>
              <w:ind w:left="20"/>
              <w:spacing w:after="0"/>
              <w:rPr>
                <w:sz w:val="20"/>
                <w:szCs w:val="20"/>
                <w:color w:val="auto"/>
              </w:rPr>
            </w:pPr>
            <w:r>
              <w:rPr>
                <w:rFonts w:ascii="Arial" w:cs="Arial" w:eastAsia="Arial" w:hAnsi="Arial"/>
                <w:sz w:val="16"/>
                <w:szCs w:val="16"/>
                <w:color w:val="auto"/>
              </w:rPr>
              <w:t>January 1 - January 31</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4,566</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22.14</w:t>
            </w:r>
          </w:p>
        </w:tc>
        <w:tc>
          <w:tcPr>
            <w:tcW w:w="1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6"/>
                <w:szCs w:val="16"/>
                <w:b w:val="1"/>
                <w:bCs w:val="1"/>
                <w:color w:val="auto"/>
              </w:rPr>
              <w:t>4,566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138,342</w:t>
            </w:r>
          </w:p>
        </w:tc>
      </w:tr>
      <w:tr>
        <w:trPr>
          <w:trHeight w:val="217"/>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February 1 - February 28</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5,129</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24.29</w:t>
            </w:r>
          </w:p>
        </w:tc>
        <w:tc>
          <w:tcPr>
            <w:tcW w:w="12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5,128</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13,797</w:t>
            </w:r>
          </w:p>
        </w:tc>
      </w:tr>
      <w:tr>
        <w:trPr>
          <w:trHeight w:val="215"/>
        </w:trPr>
        <w:tc>
          <w:tcPr>
            <w:tcW w:w="2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March 1 - March 31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24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13,797</w:t>
            </w:r>
          </w:p>
        </w:tc>
      </w:tr>
      <w:tr>
        <w:trPr>
          <w:trHeight w:val="210"/>
        </w:trPr>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9,695</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23.28</w:t>
            </w:r>
          </w:p>
        </w:tc>
        <w:tc>
          <w:tcPr>
            <w:tcW w:w="120" w:type="dxa"/>
            <w:vAlign w:val="bottom"/>
            <w:shd w:val="clear" w:color="auto" w:fill="CCEEFF"/>
          </w:tcPr>
          <w:p>
            <w:pPr>
              <w:spacing w:after="0"/>
              <w:rPr>
                <w:sz w:val="18"/>
                <w:szCs w:val="18"/>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34"/>
        </w:trPr>
        <w:tc>
          <w:tcPr>
            <w:tcW w:w="2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left="180" w:hanging="172"/>
        <w:spacing w:after="0" w:line="241" w:lineRule="auto"/>
        <w:tabs>
          <w:tab w:leader="none" w:pos="186" w:val="left"/>
        </w:tabs>
        <w:numPr>
          <w:ilvl w:val="0"/>
          <w:numId w:val="22"/>
        </w:numPr>
        <w:rPr>
          <w:rFonts w:ascii="Arial" w:cs="Arial" w:eastAsia="Arial" w:hAnsi="Arial"/>
          <w:sz w:val="9"/>
          <w:szCs w:val="9"/>
          <w:color w:val="auto"/>
        </w:rPr>
      </w:pPr>
      <w:r>
        <w:rPr>
          <w:rFonts w:ascii="Arial" w:cs="Arial" w:eastAsia="Arial" w:hAnsi="Arial"/>
          <w:sz w:val="14"/>
          <w:szCs w:val="14"/>
          <w:color w:val="auto"/>
        </w:rPr>
        <w:t>We purchased approximately 1 thousand shares in connection with funding employee income tax withholding obligations arising upon the lapse of restrictions on restricted share units.</w:t>
      </w:r>
    </w:p>
    <w:p>
      <w:pPr>
        <w:ind w:left="180" w:hanging="172"/>
        <w:spacing w:after="0" w:line="258" w:lineRule="auto"/>
        <w:tabs>
          <w:tab w:leader="none" w:pos="186" w:val="left"/>
        </w:tabs>
        <w:numPr>
          <w:ilvl w:val="0"/>
          <w:numId w:val="22"/>
        </w:numPr>
        <w:rPr>
          <w:rFonts w:ascii="Arial" w:cs="Arial" w:eastAsia="Arial" w:hAnsi="Arial"/>
          <w:sz w:val="9"/>
          <w:szCs w:val="9"/>
          <w:color w:val="auto"/>
        </w:rPr>
      </w:pPr>
      <w:r>
        <w:rPr>
          <w:rFonts w:ascii="Arial" w:cs="Arial" w:eastAsia="Arial" w:hAnsi="Arial"/>
          <w:sz w:val="14"/>
          <w:szCs w:val="14"/>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51"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3.</w:t>
        <w:tab/>
        <w:t>DEFAULTS UPON SENIOR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4.</w:t>
        <w:tab/>
        <w:t>MINE SAFETY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7" w:lineRule="exact"/>
        <w:rPr>
          <w:sz w:val="20"/>
          <w:szCs w:val="20"/>
          <w:color w:val="auto"/>
        </w:rPr>
      </w:pPr>
    </w:p>
    <w:p>
      <w:pPr>
        <w:spacing w:after="0"/>
        <w:tabs>
          <w:tab w:leader="none" w:pos="1140" w:val="left"/>
        </w:tabs>
        <w:rPr>
          <w:sz w:val="20"/>
          <w:szCs w:val="20"/>
          <w:color w:val="auto"/>
        </w:rPr>
      </w:pPr>
      <w:r>
        <w:rPr>
          <w:rFonts w:ascii="Arial" w:cs="Arial" w:eastAsia="Arial" w:hAnsi="Arial"/>
          <w:sz w:val="25"/>
          <w:szCs w:val="25"/>
          <w:b w:val="1"/>
          <w:bCs w:val="1"/>
          <w:color w:val="14AA40"/>
        </w:rPr>
        <w:t>ITEM 5.</w:t>
        <w:tab/>
        <w:t>OTHER INFORMATION</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May 9, 2022, the Compensation Committee of the Company’s Board of Directors approved certain amendments to the Company’s Executive Severance Plan (as amended and restated, the Plan) to provide for the same severance benefits that an eligible participant would currently receive under the Plan in the case of a “Qualifying Termination,” but under circumstances constituting a “Good Reason Termination” outside of a change in control. The “Good Reason Termination” definition has also been updated to clarify that changes in the Company’s policy regarding remote or hybrid work are not grounds for a “Good Reason Termination.” All benefits and payments under the Plan remain subject to a participant's execution (and non-revocation) of a release of claims against the Company and other released parties.</w:t>
      </w:r>
    </w:p>
    <w:p>
      <w:pPr>
        <w:spacing w:after="0" w:line="10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Company’s named executive officers, other than Jeffrey J. Jones II, the Company’s President and Chief Executive Officer, participate in the Executive Severance Plan. Mr. Jones would only participate in the Executive Severance Plan if and to the extent that the benefits related to equity awards thereunder exceeded those contained in his employment agreement.</w:t>
      </w:r>
    </w:p>
    <w:p>
      <w:pPr>
        <w:spacing w:after="0" w:line="9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foregoing summary of the changes to the Plan is qualified in its entirety by reference to the full text of the Plan, a copy of which is filed as Exhibit 10.1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640715</wp:posOffset>
            </wp:positionV>
            <wp:extent cx="22288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125095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220" w:val="left"/>
        </w:tabs>
        <w:rPr>
          <w:sz w:val="20"/>
          <w:szCs w:val="20"/>
          <w:color w:val="auto"/>
        </w:rPr>
      </w:pPr>
      <w:r>
        <w:rPr>
          <w:rFonts w:ascii="Arial" w:cs="Arial" w:eastAsia="Arial" w:hAnsi="Arial"/>
          <w:sz w:val="25"/>
          <w:szCs w:val="25"/>
          <w:b w:val="1"/>
          <w:bCs w:val="1"/>
          <w:color w:val="14AA40"/>
        </w:rPr>
        <w:t>ITEM 6.</w:t>
        <w:tab/>
        <w:t>EXHIBITS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50" w:lineRule="exact"/>
        <w:rPr>
          <w:sz w:val="20"/>
          <w:szCs w:val="20"/>
          <w:color w:val="auto"/>
        </w:rPr>
      </w:pPr>
    </w:p>
    <w:p>
      <w:pPr>
        <w:ind w:left="20"/>
        <w:spacing w:after="0"/>
        <w:tabs>
          <w:tab w:leader="none" w:pos="1020" w:val="left"/>
        </w:tabs>
        <w:rPr>
          <w:rFonts w:ascii="Arial" w:cs="Arial" w:eastAsia="Arial" w:hAnsi="Arial"/>
          <w:sz w:val="17"/>
          <w:szCs w:val="17"/>
          <w:u w:val="single" w:color="auto"/>
          <w:color w:val="0000FF"/>
        </w:rPr>
      </w:pPr>
      <w:hyperlink w:anchor="page34">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w:anchor="page34">
        <w:r>
          <w:rPr>
            <w:rFonts w:ascii="Arial" w:cs="Arial" w:eastAsia="Arial" w:hAnsi="Arial"/>
            <w:sz w:val="17"/>
            <w:szCs w:val="17"/>
            <w:u w:val="single" w:color="auto"/>
            <w:color w:val="0000FF"/>
          </w:rPr>
          <w:t>Executive Severance Plan, as approved on May 9, 2022</w:t>
        </w:r>
      </w:hyperlink>
    </w:p>
    <w:p>
      <w:pPr>
        <w:spacing w:after="0" w:line="36" w:lineRule="exact"/>
        <w:rPr>
          <w:sz w:val="20"/>
          <w:szCs w:val="20"/>
          <w:color w:val="auto"/>
        </w:rPr>
      </w:pPr>
    </w:p>
    <w:p>
      <w:pPr>
        <w:ind w:left="1040" w:right="40" w:hanging="1014"/>
        <w:spacing w:after="0" w:line="235" w:lineRule="auto"/>
        <w:tabs>
          <w:tab w:leader="none" w:pos="1040" w:val="left"/>
        </w:tabs>
        <w:numPr>
          <w:ilvl w:val="0"/>
          <w:numId w:val="23"/>
        </w:numPr>
        <w:rPr>
          <w:rFonts w:ascii="Arial" w:cs="Arial" w:eastAsia="Arial" w:hAnsi="Arial"/>
          <w:sz w:val="18"/>
          <w:szCs w:val="18"/>
          <w:u w:val="single" w:color="auto"/>
          <w:color w:val="0000FF"/>
        </w:rPr>
      </w:pPr>
      <w:hyperlink r:id="rId76">
        <w:r>
          <w:rPr>
            <w:rFonts w:ascii="Arial" w:cs="Arial" w:eastAsia="Arial" w:hAnsi="Arial"/>
            <w:sz w:val="18"/>
            <w:szCs w:val="18"/>
            <w:u w:val="single" w:color="auto"/>
            <w:color w:val="0000FF"/>
          </w:rPr>
          <w:t>List of Guarantor and Issuer Subsidiaries, filed as Exhibit 22 to the Company’s transition report on Form 10-Q for the two</w:t>
        </w:r>
      </w:hyperlink>
      <w:r>
        <w:rPr>
          <w:rFonts w:ascii="Arial" w:cs="Arial" w:eastAsia="Arial" w:hAnsi="Arial"/>
          <w:sz w:val="18"/>
          <w:szCs w:val="18"/>
          <w:u w:val="single" w:color="auto"/>
          <w:color w:val="0000FF"/>
        </w:rPr>
        <w:t xml:space="preserve"> </w:t>
      </w:r>
      <w:hyperlink r:id="rId76">
        <w:r>
          <w:rPr>
            <w:rFonts w:ascii="Arial" w:cs="Arial" w:eastAsia="Arial" w:hAnsi="Arial"/>
            <w:sz w:val="18"/>
            <w:szCs w:val="18"/>
            <w:u w:val="single" w:color="auto"/>
            <w:color w:val="0000FF"/>
          </w:rPr>
          <w:t>months ending June 30, 2021, file number 1-06089, is incorporated herein by reference.</w:t>
        </w:r>
      </w:hyperlink>
    </w:p>
    <w:tbl>
      <w:tblPr>
        <w:tblLayout w:type="fixed"/>
        <w:tblInd w:w="0" w:type="dxa"/>
        <w:tblCellMar>
          <w:top w:w="0" w:type="dxa"/>
          <w:left w:w="0" w:type="dxa"/>
          <w:bottom w:w="0" w:type="dxa"/>
          <w:right w:w="0" w:type="dxa"/>
        </w:tblCellMar>
      </w:tblPr>
      <w:tr>
        <w:trPr>
          <w:trHeight w:val="224"/>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line="203" w:lineRule="exact"/>
              <w:rPr>
                <w:rFonts w:ascii="Arial" w:cs="Arial" w:eastAsia="Arial" w:hAnsi="Arial"/>
                <w:sz w:val="18"/>
                <w:szCs w:val="18"/>
                <w:color w:val="0000FF"/>
                <w:w w:val="96"/>
              </w:rPr>
            </w:pPr>
            <w:hyperlink w:anchor="page55">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660" w:type="dxa"/>
            <w:vAlign w:val="bottom"/>
            <w:shd w:val="clear" w:color="auto" w:fill="CCEEFF"/>
          </w:tcPr>
          <w:p>
            <w:pPr>
              <w:spacing w:after="0"/>
              <w:rPr>
                <w:sz w:val="19"/>
                <w:szCs w:val="19"/>
                <w:color w:val="auto"/>
              </w:rPr>
            </w:pPr>
          </w:p>
        </w:tc>
        <w:tc>
          <w:tcPr>
            <w:tcW w:w="10060" w:type="dxa"/>
            <w:vAlign w:val="bottom"/>
            <w:gridSpan w:val="6"/>
            <w:shd w:val="clear" w:color="auto" w:fill="CCEEFF"/>
          </w:tcPr>
          <w:p>
            <w:pPr>
              <w:spacing w:after="0" w:line="203" w:lineRule="exact"/>
              <w:rPr>
                <w:rFonts w:ascii="Arial" w:cs="Arial" w:eastAsia="Arial" w:hAnsi="Arial"/>
                <w:sz w:val="18"/>
                <w:szCs w:val="18"/>
                <w:color w:val="0000FF"/>
              </w:rPr>
            </w:pPr>
            <w:hyperlink w:anchor="page55">
              <w:r>
                <w:rPr>
                  <w:rFonts w:ascii="Arial" w:cs="Arial" w:eastAsia="Arial" w:hAnsi="Arial"/>
                  <w:sz w:val="18"/>
                  <w:szCs w:val="18"/>
                  <w:color w:val="0000FF"/>
                </w:rPr>
                <w:t>Certification by Chief Executive Officer pursuant to Section 302 of the Sarbanes-Oxley Act of 2002.</w:t>
              </w:r>
            </w:hyperlink>
          </w:p>
        </w:tc>
      </w:tr>
      <w:tr>
        <w:trPr>
          <w:trHeight w:val="189"/>
        </w:trPr>
        <w:tc>
          <w:tcPr>
            <w:tcW w:w="20" w:type="dxa"/>
            <w:vAlign w:val="bottom"/>
            <w:tcBorders>
              <w:top w:val="single" w:sz="8" w:color="CCEEFF"/>
            </w:tcBorders>
          </w:tcPr>
          <w:p>
            <w:pPr>
              <w:spacing w:after="0"/>
              <w:rPr>
                <w:sz w:val="16"/>
                <w:szCs w:val="16"/>
                <w:color w:val="auto"/>
              </w:rPr>
            </w:pPr>
          </w:p>
        </w:tc>
        <w:tc>
          <w:tcPr>
            <w:tcW w:w="360" w:type="dxa"/>
            <w:vAlign w:val="bottom"/>
            <w:tcBorders>
              <w:top w:val="single" w:sz="8" w:color="0000FF"/>
            </w:tcBorders>
          </w:tcPr>
          <w:p>
            <w:pPr>
              <w:spacing w:after="0" w:line="189" w:lineRule="exact"/>
              <w:rPr>
                <w:rFonts w:ascii="Arial" w:cs="Arial" w:eastAsia="Arial" w:hAnsi="Arial"/>
                <w:sz w:val="18"/>
                <w:szCs w:val="18"/>
                <w:color w:val="0000FF"/>
                <w:w w:val="96"/>
              </w:rPr>
            </w:pPr>
            <w:hyperlink w:anchor="page56">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660" w:type="dxa"/>
            <w:vAlign w:val="bottom"/>
            <w:tcBorders>
              <w:top w:val="single" w:sz="8" w:color="CCEEFF"/>
            </w:tcBorders>
          </w:tcPr>
          <w:p>
            <w:pPr>
              <w:spacing w:after="0"/>
              <w:rPr>
                <w:sz w:val="16"/>
                <w:szCs w:val="16"/>
                <w:color w:val="auto"/>
              </w:rPr>
            </w:pPr>
          </w:p>
        </w:tc>
        <w:tc>
          <w:tcPr>
            <w:tcW w:w="7860" w:type="dxa"/>
            <w:vAlign w:val="bottom"/>
            <w:tcBorders>
              <w:top w:val="single" w:sz="8" w:color="0000FF"/>
            </w:tcBorders>
            <w:gridSpan w:val="3"/>
          </w:tcPr>
          <w:p>
            <w:pPr>
              <w:spacing w:after="0" w:line="189" w:lineRule="exact"/>
              <w:rPr>
                <w:rFonts w:ascii="Arial" w:cs="Arial" w:eastAsia="Arial" w:hAnsi="Arial"/>
                <w:sz w:val="18"/>
                <w:szCs w:val="18"/>
                <w:color w:val="0000FF"/>
              </w:rPr>
            </w:pPr>
            <w:hyperlink w:anchor="page56">
              <w:r>
                <w:rPr>
                  <w:rFonts w:ascii="Arial" w:cs="Arial" w:eastAsia="Arial" w:hAnsi="Arial"/>
                  <w:sz w:val="18"/>
                  <w:szCs w:val="18"/>
                  <w:color w:val="0000FF"/>
                </w:rPr>
                <w:t>Certification by Chief Financial Officer pursuant to Section 302 of the Sarbanes-Oxley Act of 2002.</w:t>
              </w:r>
            </w:hyperlink>
          </w:p>
        </w:tc>
        <w:tc>
          <w:tcPr>
            <w:tcW w:w="2200" w:type="dxa"/>
            <w:vAlign w:val="bottom"/>
            <w:tcBorders>
              <w:top w:val="single" w:sz="8" w:color="CCEEFF"/>
            </w:tcBorders>
            <w:gridSpan w:val="3"/>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040" w:type="dxa"/>
            <w:vAlign w:val="bottom"/>
            <w:gridSpan w:val="3"/>
            <w:shd w:val="clear" w:color="auto" w:fill="CCEEFF"/>
          </w:tcPr>
          <w:p>
            <w:pPr>
              <w:ind w:left="20"/>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60" w:type="dxa"/>
            <w:vAlign w:val="bottom"/>
            <w:gridSpan w:val="6"/>
            <w:shd w:val="clear" w:color="auto" w:fill="CCEEFF"/>
          </w:tcPr>
          <w:p>
            <w:pPr>
              <w:spacing w:after="0" w:line="189" w:lineRule="exact"/>
              <w:rPr>
                <w:rFonts w:ascii="Arial" w:cs="Arial" w:eastAsia="Arial" w:hAnsi="Arial"/>
                <w:sz w:val="18"/>
                <w:szCs w:val="18"/>
                <w:color w:val="0000FF"/>
              </w:rPr>
            </w:pPr>
            <w:hyperlink w:anchor="page57">
              <w:r>
                <w:rPr>
                  <w:rFonts w:ascii="Arial" w:cs="Arial" w:eastAsia="Arial" w:hAnsi="Arial"/>
                  <w:sz w:val="18"/>
                  <w:szCs w:val="18"/>
                  <w:color w:val="0000FF"/>
                </w:rPr>
                <w:t>Certification by Chief Executive Officer pursuant to 18 U.S.C. 1350, as adopted by Section 906 of the Sarbanes-Oxley Act of</w:t>
              </w:r>
            </w:hyperlink>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7800" w:type="dxa"/>
            <w:vAlign w:val="bottom"/>
            <w:tcBorders>
              <w:top w:val="single" w:sz="8" w:color="0000FF"/>
            </w:tcBorders>
            <w:gridSpan w:val="2"/>
            <w:shd w:val="clear" w:color="auto" w:fill="CCEEFF"/>
          </w:tcPr>
          <w:p>
            <w:pPr>
              <w:spacing w:after="0" w:line="156" w:lineRule="exact"/>
              <w:rPr>
                <w:rFonts w:ascii="Arial" w:cs="Arial" w:eastAsia="Arial" w:hAnsi="Arial"/>
                <w:sz w:val="18"/>
                <w:szCs w:val="18"/>
                <w:color w:val="0000FF"/>
              </w:rPr>
            </w:pPr>
            <w:hyperlink w:anchor="page57">
              <w:r>
                <w:rPr>
                  <w:rFonts w:ascii="Arial" w:cs="Arial" w:eastAsia="Arial" w:hAnsi="Arial"/>
                  <w:sz w:val="18"/>
                  <w:szCs w:val="18"/>
                  <w:color w:val="0000FF"/>
                </w:rPr>
                <w:t>2002.</w:t>
              </w:r>
            </w:hyperlink>
          </w:p>
        </w:tc>
        <w:tc>
          <w:tcPr>
            <w:tcW w:w="60" w:type="dxa"/>
            <w:vAlign w:val="bottom"/>
            <w:tcBorders>
              <w:top w:val="single" w:sz="8" w:color="0000FF"/>
            </w:tcBorders>
            <w:shd w:val="clear" w:color="auto" w:fill="CCEEFF"/>
          </w:tcPr>
          <w:p>
            <w:pPr>
              <w:spacing w:after="0"/>
              <w:rPr>
                <w:sz w:val="13"/>
                <w:szCs w:val="13"/>
                <w:color w:val="auto"/>
              </w:rPr>
            </w:pPr>
          </w:p>
        </w:tc>
        <w:tc>
          <w:tcPr>
            <w:tcW w:w="21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040" w:type="dxa"/>
            <w:vAlign w:val="bottom"/>
            <w:gridSpan w:val="3"/>
          </w:tcPr>
          <w:p>
            <w:pPr>
              <w:ind w:left="20"/>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060" w:type="dxa"/>
            <w:vAlign w:val="bottom"/>
            <w:gridSpan w:val="6"/>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Certification by Chief Financial Officer pursuant to 18 U.S.C. 1350, as adopted by Section 906 of the Sarbanes-Oxley Act of</w:t>
              </w:r>
            </w:hyperlink>
          </w:p>
        </w:tc>
      </w:tr>
      <w:tr>
        <w:trPr>
          <w:trHeight w:val="156"/>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78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2002.</w:t>
              </w:r>
            </w:hyperlink>
          </w:p>
        </w:tc>
        <w:tc>
          <w:tcPr>
            <w:tcW w:w="6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101.INS</w:t>
            </w:r>
          </w:p>
        </w:tc>
        <w:tc>
          <w:tcPr>
            <w:tcW w:w="10060" w:type="dxa"/>
            <w:vAlign w:val="bottom"/>
            <w:gridSpan w:val="6"/>
            <w:shd w:val="clear" w:color="auto" w:fill="CCEEFF"/>
          </w:tcPr>
          <w:p>
            <w:pPr>
              <w:spacing w:after="0" w:line="189"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17"/>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w:t>
            </w: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Extension Calculation Linkbase</w:t>
            </w:r>
          </w:p>
        </w:tc>
      </w:tr>
      <w:tr>
        <w:trPr>
          <w:trHeight w:val="230"/>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29"/>
        </w:trPr>
        <w:tc>
          <w:tcPr>
            <w:tcW w:w="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660" w:type="dxa"/>
            <w:vAlign w:val="bottom"/>
            <w:shd w:val="clear" w:color="auto" w:fill="CCEEFF"/>
          </w:tcPr>
          <w:p>
            <w:pPr>
              <w:spacing w:after="0"/>
              <w:rPr>
                <w:sz w:val="19"/>
                <w:szCs w:val="19"/>
                <w:color w:val="auto"/>
              </w:rPr>
            </w:pPr>
          </w:p>
        </w:tc>
        <w:tc>
          <w:tcPr>
            <w:tcW w:w="10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1463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1463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0" w:hanging="263"/>
        <w:spacing w:after="0"/>
        <w:tabs>
          <w:tab w:leader="none" w:pos="360" w:val="left"/>
        </w:tabs>
        <w:numPr>
          <w:ilvl w:val="0"/>
          <w:numId w:val="24"/>
        </w:numPr>
        <w:rPr>
          <w:rFonts w:ascii="Arial" w:cs="Arial" w:eastAsia="Arial" w:hAnsi="Arial"/>
          <w:sz w:val="14"/>
          <w:szCs w:val="14"/>
          <w:color w:val="FFFFFF"/>
          <w:highlight w:val="black"/>
        </w:rPr>
      </w:pPr>
      <w:r>
        <w:rPr>
          <w:rFonts w:ascii="Arial" w:cs="Arial" w:eastAsia="Arial" w:hAnsi="Arial"/>
          <w:sz w:val="14"/>
          <w:szCs w:val="14"/>
          <w:color w:val="auto"/>
        </w:rPr>
        <w:t xml:space="preserve">Q3 FY2022 Form 10-Q| </w:t>
      </w:r>
      <w:r>
        <w:rPr>
          <w:rFonts w:ascii="Arial" w:cs="Arial" w:eastAsia="Arial" w:hAnsi="Arial"/>
          <w:sz w:val="14"/>
          <w:szCs w:val="14"/>
          <w:b w:val="1"/>
          <w:bCs w:val="1"/>
          <w:color w:val="auto"/>
        </w:rPr>
        <w:t>H&amp;R Block,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49" w:right="47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H&amp;R BLOCK, INC.</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J. Jones II</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May 10, 2022</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G. Bowen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May 10, 2022</w:t>
      </w:r>
    </w:p>
    <w:p>
      <w:pPr>
        <w:spacing w:after="0" w:line="29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Kellie J. Logerwell</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May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932180</wp:posOffset>
            </wp:positionV>
            <wp:extent cx="222885"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2288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|Q3 FY2022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31</w:t>
      </w:r>
    </w:p>
    <w:p>
      <w:pPr>
        <w:sectPr>
          <w:pgSz w:w="11900" w:h="16838" w:orient="portrait"/>
          <w:cols w:equalWidth="0" w:num="1">
            <w:col w:w="11220"/>
          </w:cols>
          <w:pgMar w:left="320" w:top="249"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20"/>
          <w:szCs w:val="20"/>
          <w:u w:val="single" w:color="auto"/>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H&amp;R BLOCK, INC. EXECUTIVE SEVERANCE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effective May 9, 2022)</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 Preamble.</w:t>
      </w:r>
    </w:p>
    <w:p>
      <w:pPr>
        <w:spacing w:after="0" w:line="175"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This amended and restated H&amp;R Block, Inc. Executive Severance Plan was adopted by H&amp;R Block, Inc., a Missouri corporation (“</w:t>
      </w:r>
      <w:r>
        <w:rPr>
          <w:rFonts w:ascii="Arial" w:cs="Arial" w:eastAsia="Arial" w:hAnsi="Arial"/>
          <w:sz w:val="20"/>
          <w:szCs w:val="20"/>
          <w:b w:val="1"/>
          <w:bCs w:val="1"/>
          <w:u w:val="single" w:color="auto"/>
          <w:color w:val="auto"/>
        </w:rPr>
        <w:t>HRB</w:t>
      </w:r>
      <w:r>
        <w:rPr>
          <w:rFonts w:ascii="Arial" w:cs="Arial" w:eastAsia="Arial" w:hAnsi="Arial"/>
          <w:sz w:val="20"/>
          <w:szCs w:val="20"/>
          <w:color w:val="auto"/>
        </w:rPr>
        <w:t>”) and is effective May 9, 2022 (as so amended and restated, the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Except as provided herein, this Plan supersedes all prior agreements, arrangements or plans of the Company related to separation pay in the event of a Qualifying Termination, Good Reason Termination, or Change in Control Termination.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 Definitions.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For purposes of this Plan, the following terms shall have the meanings specified below unless the context clearly requires otherwise:</w:t>
      </w:r>
    </w:p>
    <w:p>
      <w:pPr>
        <w:spacing w:after="0" w:line="208" w:lineRule="exact"/>
        <w:rPr>
          <w:sz w:val="20"/>
          <w:szCs w:val="20"/>
          <w:color w:val="auto"/>
        </w:rPr>
      </w:pPr>
    </w:p>
    <w:p>
      <w:pPr>
        <w:jc w:val="both"/>
        <w:ind w:firstLine="225"/>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Affiliate</w:t>
      </w:r>
      <w:r>
        <w:rPr>
          <w:rFonts w:ascii="Arial" w:cs="Arial" w:eastAsia="Arial" w:hAnsi="Arial"/>
          <w:sz w:val="20"/>
          <w:szCs w:val="20"/>
          <w:color w:val="auto"/>
        </w:rPr>
        <w:t>” shall have the meaning ascribed to such term in Rule 12b-2 of Regulation 12B under the Securities Exchange Act of 1934, as amended.</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Compensation</w:t>
      </w:r>
      <w:r>
        <w:rPr>
          <w:rFonts w:ascii="Arial" w:cs="Arial" w:eastAsia="Arial" w:hAnsi="Arial"/>
          <w:sz w:val="18"/>
          <w:szCs w:val="18"/>
          <w:color w:val="auto"/>
        </w:rPr>
        <w:t>” means a Participant’s annual base salary plus Participant’s annual target short-term incentive opportunity in effect at the time of a Participant's Termination Date, as approved by the Board or the Compensation Committee, as applicable.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Board</w:t>
      </w:r>
      <w:r>
        <w:rPr>
          <w:rFonts w:ascii="Arial" w:cs="Arial" w:eastAsia="Arial" w:hAnsi="Arial"/>
          <w:sz w:val="20"/>
          <w:szCs w:val="20"/>
          <w:color w:val="auto"/>
        </w:rPr>
        <w:t>” means the Board of Directors of HRB.</w:t>
      </w:r>
    </w:p>
    <w:p>
      <w:pPr>
        <w:spacing w:after="0" w:line="202" w:lineRule="exact"/>
        <w:rPr>
          <w:sz w:val="20"/>
          <w:szCs w:val="20"/>
          <w:color w:val="auto"/>
        </w:rPr>
      </w:pPr>
    </w:p>
    <w:p>
      <w:pPr>
        <w:jc w:val="both"/>
        <w:ind w:firstLine="19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 any of the following unless, if capable of cure, such events are fully corrected in all material respects by Participant within ten (10) days after the Company provides notice of the occurrence of such event:</w:t>
      </w:r>
    </w:p>
    <w:p>
      <w:pPr>
        <w:spacing w:after="0" w:line="182" w:lineRule="exact"/>
        <w:rPr>
          <w:sz w:val="20"/>
          <w:szCs w:val="20"/>
          <w:color w:val="auto"/>
        </w:rPr>
      </w:pPr>
    </w:p>
    <w:p>
      <w:pPr>
        <w:ind w:left="980" w:hanging="324"/>
        <w:spacing w:after="0" w:line="229" w:lineRule="auto"/>
        <w:tabs>
          <w:tab w:leader="none" w:pos="97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Participant’s misconduct that materially interferes with or materially prejudices the proper conduct of the business of the Company;</w:t>
      </w:r>
    </w:p>
    <w:p>
      <w:pPr>
        <w:spacing w:after="0" w:line="182" w:lineRule="exact"/>
        <w:rPr>
          <w:rFonts w:ascii="Arial" w:cs="Arial" w:eastAsia="Arial" w:hAnsi="Arial"/>
          <w:sz w:val="20"/>
          <w:szCs w:val="20"/>
          <w:color w:val="auto"/>
        </w:rPr>
      </w:pPr>
    </w:p>
    <w:p>
      <w:pPr>
        <w:ind w:left="980" w:hanging="324"/>
        <w:spacing w:after="0"/>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Participant’s commission of an act materially and demonstrably detrimental to the good will of the Company;</w:t>
      </w:r>
    </w:p>
    <w:p>
      <w:pPr>
        <w:spacing w:after="0" w:line="202" w:lineRule="exact"/>
        <w:rPr>
          <w:rFonts w:ascii="Arial" w:cs="Arial" w:eastAsia="Arial" w:hAnsi="Arial"/>
          <w:sz w:val="20"/>
          <w:szCs w:val="20"/>
          <w:color w:val="auto"/>
        </w:rPr>
      </w:pPr>
    </w:p>
    <w:p>
      <w:pPr>
        <w:ind w:left="980" w:hanging="324"/>
        <w:spacing w:after="0" w:line="229" w:lineRule="auto"/>
        <w:tabs>
          <w:tab w:leader="none" w:pos="9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Participant’s commission of any act of dishonesty or breach of trust resulting or intending to result in material personal gain or enrichment of the Participant at the expense of the Company;</w:t>
      </w:r>
    </w:p>
    <w:p>
      <w:pPr>
        <w:spacing w:after="0" w:line="182" w:lineRule="exact"/>
        <w:rPr>
          <w:rFonts w:ascii="Arial" w:cs="Arial" w:eastAsia="Arial" w:hAnsi="Arial"/>
          <w:sz w:val="20"/>
          <w:szCs w:val="20"/>
          <w:color w:val="auto"/>
        </w:rPr>
      </w:pPr>
    </w:p>
    <w:p>
      <w:pPr>
        <w:ind w:left="980" w:hanging="324"/>
        <w:spacing w:after="0" w:line="229" w:lineRule="auto"/>
        <w:tabs>
          <w:tab w:leader="none" w:pos="969"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Participant’s violation of any non-competition, non-solicitation, confidentiality or similar restrictive covenant under any employment-related agreement, plan or policy with respect to which the Participant is a party or is bound; or</w:t>
      </w:r>
    </w:p>
    <w:p>
      <w:pPr>
        <w:spacing w:after="0" w:line="182" w:lineRule="exact"/>
        <w:rPr>
          <w:rFonts w:ascii="Arial" w:cs="Arial" w:eastAsia="Arial" w:hAnsi="Arial"/>
          <w:sz w:val="20"/>
          <w:szCs w:val="20"/>
          <w:color w:val="auto"/>
        </w:rPr>
      </w:pPr>
    </w:p>
    <w:p>
      <w:pPr>
        <w:ind w:left="980" w:hanging="324"/>
        <w:spacing w:after="0" w:line="229" w:lineRule="auto"/>
        <w:tabs>
          <w:tab w:leader="none" w:pos="968"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Participant’s conviction of, or plea of guilty or nolo contendere to, a misdemeanor involving an act of moral turpitude or a felony.</w:t>
      </w:r>
    </w:p>
    <w:p>
      <w:pPr>
        <w:spacing w:after="0" w:line="18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If the Company does not give the Participant a termination notice within sixty (60) days after the Board or the Chairman of the Board has knowledge that an event constituting Cause has occurred, the event will no longer constitute Cause. The Company may place a Participant on unpaid leave for up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8" w:right="339" w:bottom="1440" w:gutter="0" w:footer="0" w:header="0"/>
        </w:sectPr>
      </w:pPr>
    </w:p>
    <w:bookmarkStart w:id="34" w:name="page35"/>
    <w:bookmarkEnd w:id="34"/>
    <w:p>
      <w:pPr>
        <w:spacing w:after="0" w:line="229" w:lineRule="auto"/>
        <w:rPr>
          <w:sz w:val="20"/>
          <w:szCs w:val="20"/>
          <w:color w:val="auto"/>
        </w:rPr>
      </w:pPr>
      <w:r>
        <w:rPr>
          <w:rFonts w:ascii="Arial" w:cs="Arial" w:eastAsia="Arial" w:hAnsi="Arial"/>
          <w:sz w:val="20"/>
          <w:szCs w:val="20"/>
          <w:color w:val="auto"/>
        </w:rPr>
        <w:t>thirty (30) consecutive days while it is determining whether there is a basis to terminate the Participant’s employment for Cause. Such unpaid leave will not constitute Good Reason.</w:t>
      </w:r>
    </w:p>
    <w:p>
      <w:pPr>
        <w:spacing w:after="0" w:line="182" w:lineRule="exact"/>
        <w:rPr>
          <w:sz w:val="20"/>
          <w:szCs w:val="20"/>
          <w:color w:val="auto"/>
        </w:rPr>
      </w:pPr>
    </w:p>
    <w:p>
      <w:pPr>
        <w:ind w:firstLine="648"/>
        <w:spacing w:after="0" w:line="229" w:lineRule="auto"/>
        <w:rPr>
          <w:sz w:val="20"/>
          <w:szCs w:val="20"/>
          <w:color w:val="auto"/>
        </w:rPr>
      </w:pPr>
      <w:r>
        <w:rPr>
          <w:rFonts w:ascii="Arial" w:cs="Arial" w:eastAsia="Arial" w:hAnsi="Arial"/>
          <w:sz w:val="20"/>
          <w:szCs w:val="20"/>
          <w:color w:val="auto"/>
        </w:rPr>
        <w:t>For purposes of this definition, any act or omission by the Participant based on authority given pursuant to a resolution duly adopted by the Board will be deemed made in good faith and in the best interests of the Company.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in Control</w:t>
      </w:r>
      <w:r>
        <w:rPr>
          <w:rFonts w:ascii="Arial" w:cs="Arial" w:eastAsia="Arial" w:hAnsi="Arial"/>
          <w:sz w:val="20"/>
          <w:szCs w:val="20"/>
          <w:color w:val="auto"/>
        </w:rPr>
        <w:t>” means the occurrence of one or more of the following events:</w:t>
      </w:r>
    </w:p>
    <w:p>
      <w:pPr>
        <w:spacing w:after="0" w:line="208" w:lineRule="exact"/>
        <w:rPr>
          <w:sz w:val="20"/>
          <w:szCs w:val="20"/>
          <w:color w:val="auto"/>
        </w:rPr>
      </w:pPr>
    </w:p>
    <w:p>
      <w:pPr>
        <w:jc w:val="both"/>
        <w:ind w:left="980" w:hanging="324"/>
        <w:spacing w:after="0" w:line="217" w:lineRule="auto"/>
        <w:tabs>
          <w:tab w:leader="none" w:pos="978"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one person, or more than one person acting as a group, acquires ownership of stock of HRB that, together with stock held by such person or group, constitutes more than 50 percent of the total fair market value or total voting power of the stock of HRB. If any one person, or more than one person acting as a group, is considered to own more than 50 percent of the total fair market value or total voting power of the stock of HRB, the acquisition of additional stock by the same person or persons shall not be considered to cause a Change in Control. An increase in the percentage of stock owned by any one person, or persons acting as a group, as a result of a transaction in which HRB acquires its stock in exchange for property will be treated as an acquisition of stock for purposes of this definition.</w:t>
      </w:r>
    </w:p>
    <w:p>
      <w:pPr>
        <w:spacing w:after="0" w:line="183" w:lineRule="exact"/>
        <w:rPr>
          <w:rFonts w:ascii="Arial" w:cs="Arial" w:eastAsia="Arial" w:hAnsi="Arial"/>
          <w:sz w:val="19"/>
          <w:szCs w:val="19"/>
          <w:color w:val="auto"/>
        </w:rPr>
      </w:pPr>
    </w:p>
    <w:p>
      <w:pPr>
        <w:jc w:val="both"/>
        <w:ind w:left="980" w:hanging="324"/>
        <w:spacing w:after="0" w:line="215" w:lineRule="auto"/>
        <w:tabs>
          <w:tab w:leader="none" w:pos="979"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one person, or more than one person acting as a group, acquires (when combined with all other acquisitions of HRB stock acquired during the twelve (12) month period ending on the date of the most recent acquisition by such person or persons) ownership of stock of HRB possessing 35 percent or more of the total voting power of the stock of HRB. If any one person, or more than one person acting as a group, is considered to effectively control a corporation within the meaning of Treasury Regulation §1.409A-3(i)(5)(vi), the acquisition of additional control of the corporation by the same person or persons is not considered to cause a change in the effective control of the corporation. An increase in the percentage of stock owned by any one person, or persons acting as a group, as a result of a transaction in which HRB acquires its stock in exchange for property will not be treated as an acquisition of stock for purposes of this clause (ii), but will be treated as an acquisition of stock for purposes of clause (i) of this definition.</w:t>
      </w:r>
    </w:p>
    <w:p>
      <w:pPr>
        <w:spacing w:after="0" w:line="182" w:lineRule="exact"/>
        <w:rPr>
          <w:rFonts w:ascii="Arial" w:cs="Arial" w:eastAsia="Arial" w:hAnsi="Arial"/>
          <w:sz w:val="19"/>
          <w:szCs w:val="19"/>
          <w:color w:val="auto"/>
        </w:rPr>
      </w:pPr>
    </w:p>
    <w:p>
      <w:pPr>
        <w:ind w:left="980" w:hanging="324"/>
        <w:spacing w:after="0" w:line="242" w:lineRule="auto"/>
        <w:tabs>
          <w:tab w:leader="none" w:pos="98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majority of members of the Board is replaced during any 12-month period by directors whose appointment or election is not endorsed by two-thirds (2/3) of the members of the Board before the date of such appointment or election.</w:t>
      </w:r>
    </w:p>
    <w:p>
      <w:pPr>
        <w:spacing w:after="0" w:line="180" w:lineRule="exact"/>
        <w:rPr>
          <w:rFonts w:ascii="Arial" w:cs="Arial" w:eastAsia="Arial" w:hAnsi="Arial"/>
          <w:sz w:val="19"/>
          <w:szCs w:val="19"/>
          <w:color w:val="auto"/>
        </w:rPr>
      </w:pPr>
    </w:p>
    <w:p>
      <w:pPr>
        <w:jc w:val="both"/>
        <w:ind w:left="980" w:hanging="324"/>
        <w:spacing w:after="0" w:line="225" w:lineRule="auto"/>
        <w:tabs>
          <w:tab w:leader="none" w:pos="9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(when combined with all other acquisitions of HRB assets acquired during the twelve (12) month period ending on the date of the most recent acquisition by such person or persons) assets from HRB that have a total gross fair market value equal to or more than 50 percent of the total gross fair market value of all of the assets of HRB immediately before such acquisition or acquisitions. For this purpose, gross fair market value means the value of the assets of HRB, or the value of the assets being disposed of, determined without regard to any liabilities associated with such assets. Notwithstanding the foregoing, there is no Change in Control event under this definition when there is a transfer to an entity that is controlled by the shareholders of HRB immediately after the transfer. A transfer of assets by HRB is not treated as a change in the ownership of such assets if the assets are transferred to: (a) a shareholder of HRB (immediately before the asset transfer) in exchange for or with respect to its stock; (b) an entity, 50 percent or more of the total value or voting power of which is owned, directly or indirectly, by HRB; (c) a person, or more than one person acting as a group, that owns, directly or indirectly, 50 percent or more of the total value or voting power of all the outstanding stock of HRB; or (d) an entity, at least 50 percent of the total value or voting power of which is owned, directly or indirectly, by a person described in (c)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5" w:right="339" w:bottom="1440" w:gutter="0" w:footer="0" w:header="0"/>
        </w:sectPr>
      </w:pPr>
    </w:p>
    <w:bookmarkStart w:id="35" w:name="page36"/>
    <w:bookmarkEnd w:id="35"/>
    <w:p>
      <w:pPr>
        <w:spacing w:after="0" w:line="209"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20"/>
          <w:szCs w:val="20"/>
          <w:color w:val="auto"/>
        </w:rPr>
        <w:t>For purposes of this definition of Change in Control, persons will be considered to be acting as a group in accordance with Sections 13(d)(3) and 14(d)(2) of the Securities Exchange Act of 1934, as amended, and Section 409A of the Code.</w:t>
      </w:r>
    </w:p>
    <w:p>
      <w:pPr>
        <w:spacing w:after="0" w:line="176"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Change in Control Termination</w:t>
      </w:r>
      <w:r>
        <w:rPr>
          <w:rFonts w:ascii="Arial" w:cs="Arial" w:eastAsia="Arial" w:hAnsi="Arial"/>
          <w:sz w:val="19"/>
          <w:szCs w:val="19"/>
          <w:color w:val="auto"/>
        </w:rPr>
        <w:t>” means a Participant’s Qualifying Termination or Good Reason Termination, in either event within seventy-five (75) days immediately preceding or within eighteen (18) months immediately following a Change in Control.</w:t>
      </w:r>
    </w:p>
    <w:p>
      <w:pPr>
        <w:spacing w:after="0" w:line="168"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COBRA Subsidy</w:t>
      </w:r>
      <w:r>
        <w:rPr>
          <w:rFonts w:ascii="Arial" w:cs="Arial" w:eastAsia="Arial" w:hAnsi="Arial"/>
          <w:sz w:val="20"/>
          <w:szCs w:val="20"/>
          <w:color w:val="auto"/>
        </w:rPr>
        <w:t>” means an amount equal to the Participant’s monthly post-employment premium for health and welfare benefits under the Consolidated Omnibus Budget Reconciliation Act of 1985 (“</w:t>
      </w:r>
      <w:r>
        <w:rPr>
          <w:rFonts w:ascii="Arial" w:cs="Arial" w:eastAsia="Arial" w:hAnsi="Arial"/>
          <w:sz w:val="20"/>
          <w:szCs w:val="20"/>
          <w:b w:val="1"/>
          <w:bCs w:val="1"/>
          <w:u w:val="single" w:color="auto"/>
          <w:color w:val="auto"/>
        </w:rPr>
        <w:t>COBRA</w:t>
      </w:r>
      <w:r>
        <w:rPr>
          <w:rFonts w:ascii="Arial" w:cs="Arial" w:eastAsia="Arial" w:hAnsi="Arial"/>
          <w:sz w:val="20"/>
          <w:szCs w:val="20"/>
          <w:color w:val="auto"/>
        </w:rPr>
        <w:t>”) less the amount paid from time to time by active employees for similar coverage.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means the Internal Revenue Code of 1986, as amended.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means HRB and its Affiliates.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Comparable Position</w:t>
      </w:r>
      <w:r>
        <w:rPr>
          <w:rFonts w:ascii="Arial" w:cs="Arial" w:eastAsia="Arial" w:hAnsi="Arial"/>
          <w:sz w:val="20"/>
          <w:szCs w:val="20"/>
          <w:color w:val="auto"/>
        </w:rPr>
        <w:t>” means a position where:</w:t>
      </w:r>
    </w:p>
    <w:p>
      <w:pPr>
        <w:spacing w:after="0" w:line="208" w:lineRule="exact"/>
        <w:rPr>
          <w:sz w:val="20"/>
          <w:szCs w:val="20"/>
          <w:color w:val="auto"/>
        </w:rPr>
      </w:pPr>
    </w:p>
    <w:p>
      <w:pPr>
        <w:ind w:left="1040" w:hanging="384"/>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primary work location is within 50 miles of the Participant’s primary work location prior to the Qualifying Termination; and</w:t>
      </w:r>
    </w:p>
    <w:p>
      <w:pPr>
        <w:spacing w:after="0" w:line="225" w:lineRule="exact"/>
        <w:rPr>
          <w:rFonts w:ascii="Arial" w:cs="Arial" w:eastAsia="Arial" w:hAnsi="Arial"/>
          <w:sz w:val="18"/>
          <w:szCs w:val="18"/>
          <w:color w:val="auto"/>
        </w:rPr>
      </w:pPr>
    </w:p>
    <w:p>
      <w:pPr>
        <w:ind w:left="980" w:hanging="324"/>
        <w:spacing w:after="0" w:line="229" w:lineRule="auto"/>
        <w:tabs>
          <w:tab w:leader="none" w:pos="1255"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Base Compensation is not more than 10% below the Participant’s compensation rate at the time of the Qualifying Termination.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ERISA</w:t>
      </w:r>
      <w:r>
        <w:rPr>
          <w:rFonts w:ascii="Arial" w:cs="Arial" w:eastAsia="Arial" w:hAnsi="Arial"/>
          <w:sz w:val="20"/>
          <w:szCs w:val="20"/>
          <w:color w:val="auto"/>
        </w:rPr>
        <w:t>” means the Employee Retirement Income Security Act of 1974, as amended.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Good Reason Termination</w:t>
      </w:r>
      <w:r>
        <w:rPr>
          <w:rFonts w:ascii="Arial" w:cs="Arial" w:eastAsia="Arial" w:hAnsi="Arial"/>
          <w:sz w:val="20"/>
          <w:szCs w:val="20"/>
          <w:color w:val="auto"/>
        </w:rPr>
        <w:t>” means a Separation from Service:</w:t>
      </w:r>
    </w:p>
    <w:p>
      <w:pPr>
        <w:spacing w:after="0" w:line="208" w:lineRule="exact"/>
        <w:rPr>
          <w:sz w:val="20"/>
          <w:szCs w:val="20"/>
          <w:color w:val="auto"/>
        </w:rPr>
      </w:pPr>
    </w:p>
    <w:p>
      <w:pPr>
        <w:ind w:left="1040" w:hanging="384"/>
        <w:spacing w:after="0"/>
        <w:tabs>
          <w:tab w:leader="none" w:pos="1040" w:val="left"/>
        </w:tabs>
        <w:numPr>
          <w:ilvl w:val="0"/>
          <w:numId w:val="28"/>
        </w:numPr>
        <w:rPr>
          <w:rFonts w:ascii="Arial" w:cs="Arial" w:eastAsia="Arial" w:hAnsi="Arial"/>
          <w:sz w:val="20"/>
          <w:szCs w:val="20"/>
          <w:color w:val="auto"/>
        </w:rPr>
      </w:pPr>
      <w:r>
        <w:rPr>
          <w:rFonts w:ascii="Arial" w:cs="Arial" w:eastAsia="Arial" w:hAnsi="Arial"/>
          <w:sz w:val="20"/>
          <w:szCs w:val="20"/>
          <w:color w:val="auto"/>
        </w:rPr>
        <w:t>which is initiated by the Participant on account of one or more of the following conditions:</w:t>
      </w:r>
    </w:p>
    <w:p>
      <w:pPr>
        <w:spacing w:after="0" w:line="202" w:lineRule="exact"/>
        <w:rPr>
          <w:rFonts w:ascii="Arial" w:cs="Arial" w:eastAsia="Arial" w:hAnsi="Arial"/>
          <w:sz w:val="20"/>
          <w:szCs w:val="20"/>
          <w:color w:val="auto"/>
        </w:rPr>
      </w:pPr>
    </w:p>
    <w:p>
      <w:pPr>
        <w:ind w:left="1760" w:hanging="456"/>
        <w:spacing w:after="0"/>
        <w:tabs>
          <w:tab w:leader="none" w:pos="17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material diminution in the Participant’s Base Compensation;</w:t>
      </w:r>
    </w:p>
    <w:p>
      <w:pPr>
        <w:spacing w:after="0" w:line="202" w:lineRule="exact"/>
        <w:rPr>
          <w:rFonts w:ascii="Arial" w:cs="Arial" w:eastAsia="Arial" w:hAnsi="Arial"/>
          <w:sz w:val="20"/>
          <w:szCs w:val="20"/>
          <w:color w:val="auto"/>
        </w:rPr>
      </w:pPr>
    </w:p>
    <w:p>
      <w:pPr>
        <w:ind w:left="1760" w:hanging="456"/>
        <w:spacing w:after="0"/>
        <w:tabs>
          <w:tab w:leader="none" w:pos="1760" w:val="left"/>
        </w:tabs>
        <w:numPr>
          <w:ilvl w:val="1"/>
          <w:numId w:val="28"/>
        </w:numPr>
        <w:rPr>
          <w:rFonts w:ascii="Arial" w:cs="Arial" w:eastAsia="Arial" w:hAnsi="Arial"/>
          <w:sz w:val="20"/>
          <w:szCs w:val="20"/>
          <w:color w:val="auto"/>
        </w:rPr>
      </w:pPr>
      <w:r>
        <w:rPr>
          <w:rFonts w:ascii="Arial" w:cs="Arial" w:eastAsia="Arial" w:hAnsi="Arial"/>
          <w:sz w:val="20"/>
          <w:szCs w:val="20"/>
          <w:color w:val="auto"/>
        </w:rPr>
        <w:t>A material diminution in the Participant’s authority, duties, or responsibilities;</w:t>
      </w:r>
    </w:p>
    <w:p>
      <w:pPr>
        <w:spacing w:after="0" w:line="202" w:lineRule="exact"/>
        <w:rPr>
          <w:rFonts w:ascii="Arial" w:cs="Arial" w:eastAsia="Arial" w:hAnsi="Arial"/>
          <w:sz w:val="20"/>
          <w:szCs w:val="20"/>
          <w:color w:val="auto"/>
        </w:rPr>
      </w:pPr>
    </w:p>
    <w:p>
      <w:pPr>
        <w:jc w:val="both"/>
        <w:ind w:left="660" w:firstLine="644"/>
        <w:spacing w:after="0" w:line="218" w:lineRule="auto"/>
        <w:tabs>
          <w:tab w:leader="none" w:pos="1889"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Company’s change by more than 50 miles in the primary geographic location at which the Participant must perform the services; for clarification, any change in the Company’s policy regarding remote or hybrid work shall not constitute a material change under this clause (i)(C); or</w:t>
      </w:r>
    </w:p>
    <w:p>
      <w:pPr>
        <w:spacing w:after="0" w:line="183" w:lineRule="exact"/>
        <w:rPr>
          <w:rFonts w:ascii="Arial" w:cs="Arial" w:eastAsia="Arial" w:hAnsi="Arial"/>
          <w:sz w:val="20"/>
          <w:szCs w:val="20"/>
          <w:color w:val="auto"/>
        </w:rPr>
      </w:pPr>
    </w:p>
    <w:p>
      <w:pPr>
        <w:ind w:left="660" w:right="20" w:firstLine="644"/>
        <w:spacing w:after="0" w:line="229" w:lineRule="auto"/>
        <w:tabs>
          <w:tab w:leader="none" w:pos="1853" w:val="left"/>
        </w:tabs>
        <w:numPr>
          <w:ilvl w:val="1"/>
          <w:numId w:val="28"/>
        </w:numPr>
        <w:rPr>
          <w:rFonts w:ascii="Arial" w:cs="Arial" w:eastAsia="Arial" w:hAnsi="Arial"/>
          <w:sz w:val="20"/>
          <w:szCs w:val="20"/>
          <w:color w:val="auto"/>
        </w:rPr>
      </w:pPr>
      <w:r>
        <w:rPr>
          <w:rFonts w:ascii="Arial" w:cs="Arial" w:eastAsia="Arial" w:hAnsi="Arial"/>
          <w:sz w:val="20"/>
          <w:szCs w:val="20"/>
          <w:color w:val="auto"/>
        </w:rPr>
        <w:t>Any other action or inaction that constitutes a material breach by the Company of any written employment-related agreement between the Participant and the Company;</w:t>
      </w:r>
    </w:p>
    <w:p>
      <w:pPr>
        <w:spacing w:after="0" w:line="182" w:lineRule="exact"/>
        <w:rPr>
          <w:rFonts w:ascii="Arial" w:cs="Arial" w:eastAsia="Arial" w:hAnsi="Arial"/>
          <w:sz w:val="20"/>
          <w:szCs w:val="20"/>
          <w:color w:val="auto"/>
        </w:rPr>
      </w:pPr>
    </w:p>
    <w:p>
      <w:pPr>
        <w:ind w:left="1100" w:hanging="444"/>
        <w:spacing w:after="0"/>
        <w:tabs>
          <w:tab w:leader="none" w:pos="11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which the Participant does not consent to the condition referenced in (i) above; and</w:t>
      </w:r>
    </w:p>
    <w:p>
      <w:pPr>
        <w:spacing w:after="0" w:line="202" w:lineRule="exact"/>
        <w:rPr>
          <w:rFonts w:ascii="Arial" w:cs="Arial" w:eastAsia="Arial" w:hAnsi="Arial"/>
          <w:sz w:val="20"/>
          <w:szCs w:val="20"/>
          <w:color w:val="auto"/>
        </w:rPr>
      </w:pPr>
    </w:p>
    <w:p>
      <w:pPr>
        <w:ind w:left="1160" w:hanging="504"/>
        <w:spacing w:after="0"/>
        <w:tabs>
          <w:tab w:leader="none" w:pos="11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for which the Company does not substantially remedy the condition (as described in this definition).</w:t>
      </w:r>
    </w:p>
    <w:p>
      <w:pPr>
        <w:spacing w:after="0" w:line="202" w:lineRule="exact"/>
        <w:rPr>
          <w:sz w:val="20"/>
          <w:szCs w:val="20"/>
          <w:color w:val="auto"/>
        </w:rPr>
      </w:pPr>
    </w:p>
    <w:p>
      <w:pPr>
        <w:jc w:val="both"/>
        <w:ind w:firstLine="648"/>
        <w:spacing w:after="0" w:line="205" w:lineRule="auto"/>
        <w:rPr>
          <w:sz w:val="20"/>
          <w:szCs w:val="20"/>
          <w:color w:val="auto"/>
        </w:rPr>
      </w:pPr>
      <w:r>
        <w:rPr>
          <w:rFonts w:ascii="Arial" w:cs="Arial" w:eastAsia="Arial" w:hAnsi="Arial"/>
          <w:sz w:val="20"/>
          <w:szCs w:val="20"/>
          <w:color w:val="auto"/>
        </w:rPr>
        <w:t>A Participant must provide notice to the Company of the existence of any of the foregoing conditions within thirty (30) days of the initial existence of the condition for which Participant will terminate employment; provided, however, that any notice relating to a condition that initially occurs before a Change in Control must be provided no later than ninety (90) days following the initial existence of the condition (it being understood that the relevant time period commences as of the date Participant knows or should reasonably have known of the existence of such condition). Participant must remain employed with the Company for at least thirty (30) days after providing such notice. During the thirty (30) days following receipt of the notice, the Company may substantially remedy the event, occurrence or condition for which notice was given, in which case a Good Reason Termination will not occur as a result of the condition and the Company will not be required to pay the amount.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440" w:right="339"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HRB</w:t>
      </w:r>
      <w:r>
        <w:rPr>
          <w:rFonts w:ascii="Arial" w:cs="Arial" w:eastAsia="Arial" w:hAnsi="Arial"/>
          <w:sz w:val="20"/>
          <w:szCs w:val="20"/>
          <w:color w:val="auto"/>
        </w:rPr>
        <w:t>” means H&amp;R Block, Inc., a Missouri corporation.</w:t>
      </w:r>
    </w:p>
    <w:p>
      <w:pPr>
        <w:spacing w:after="0" w:line="202"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means an associate of the Company whose participation in the Plan is approved by the Compensation Committee of the Board (or other committee appointed by the Board to administer the Plan pursuant to Section 18).</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Payment Deadline</w:t>
      </w:r>
      <w:r>
        <w:rPr>
          <w:rFonts w:ascii="Arial" w:cs="Arial" w:eastAsia="Arial" w:hAnsi="Arial"/>
          <w:sz w:val="20"/>
          <w:szCs w:val="20"/>
          <w:color w:val="auto"/>
        </w:rPr>
        <w:t>” means the date which is sixty (60) days after the Termination Date.</w:t>
      </w:r>
    </w:p>
    <w:p>
      <w:pPr>
        <w:spacing w:after="0" w:line="202" w:lineRule="exact"/>
        <w:rPr>
          <w:sz w:val="20"/>
          <w:szCs w:val="20"/>
          <w:color w:val="auto"/>
        </w:rPr>
      </w:pPr>
    </w:p>
    <w:p>
      <w:pPr>
        <w:ind w:right="20"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means this H&amp;R Block, Inc. Executive Severance Plan, as amended from time to time. This document serves as both the legal plan document and summary plan description.</w:t>
      </w:r>
    </w:p>
    <w:p>
      <w:pPr>
        <w:spacing w:after="0" w:line="176"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Plan Administrator</w:t>
      </w:r>
      <w:r>
        <w:rPr>
          <w:rFonts w:ascii="Arial" w:cs="Arial" w:eastAsia="Arial" w:hAnsi="Arial"/>
          <w:sz w:val="20"/>
          <w:szCs w:val="20"/>
          <w:color w:val="auto"/>
        </w:rPr>
        <w:t>” and “</w:t>
      </w:r>
      <w:r>
        <w:rPr>
          <w:rFonts w:ascii="Arial" w:cs="Arial" w:eastAsia="Arial" w:hAnsi="Arial"/>
          <w:sz w:val="20"/>
          <w:szCs w:val="20"/>
          <w:b w:val="1"/>
          <w:bCs w:val="1"/>
          <w:u w:val="single" w:color="auto"/>
          <w:color w:val="auto"/>
        </w:rPr>
        <w:t>Plan Sponsor</w:t>
      </w:r>
      <w:r>
        <w:rPr>
          <w:rFonts w:ascii="Arial" w:cs="Arial" w:eastAsia="Arial" w:hAnsi="Arial"/>
          <w:sz w:val="20"/>
          <w:szCs w:val="20"/>
          <w:color w:val="auto"/>
        </w:rPr>
        <w:t>” means H&amp;R Block Management, LLC. The address and telephone number of H&amp;R Block Management, LLC is One H&amp;R Block Way, Kansas City, Missouri 64105, (816) 854-3000.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Qualifying Termination</w:t>
      </w:r>
      <w:r>
        <w:rPr>
          <w:rFonts w:ascii="Arial" w:cs="Arial" w:eastAsia="Arial" w:hAnsi="Arial"/>
          <w:sz w:val="18"/>
          <w:szCs w:val="18"/>
          <w:color w:val="auto"/>
        </w:rPr>
        <w:t>” means the involuntary Separation from Service by the Company under circumstances not constituting</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Cause but does not include:</w:t>
      </w:r>
    </w:p>
    <w:p>
      <w:pPr>
        <w:spacing w:after="0" w:line="186" w:lineRule="exact"/>
        <w:rPr>
          <w:sz w:val="20"/>
          <w:szCs w:val="20"/>
          <w:color w:val="auto"/>
        </w:rPr>
      </w:pPr>
    </w:p>
    <w:p>
      <w:pPr>
        <w:ind w:left="980" w:right="20" w:hanging="324"/>
        <w:spacing w:after="0" w:line="229" w:lineRule="auto"/>
        <w:tabs>
          <w:tab w:leader="none" w:pos="1055"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elimination of the Participant’s position where the Participant was offered a Comparable Position with the Company or with a party that acquires any asset from the Company (or a subsidiary or an affiliate of such a party);</w:t>
      </w:r>
    </w:p>
    <w:p>
      <w:pPr>
        <w:spacing w:after="0" w:line="182" w:lineRule="exact"/>
        <w:rPr>
          <w:rFonts w:ascii="Arial" w:cs="Arial" w:eastAsia="Arial" w:hAnsi="Arial"/>
          <w:sz w:val="20"/>
          <w:szCs w:val="20"/>
          <w:color w:val="auto"/>
        </w:rPr>
      </w:pPr>
    </w:p>
    <w:p>
      <w:pPr>
        <w:ind w:left="1100" w:hanging="444"/>
        <w:spacing w:after="0"/>
        <w:tabs>
          <w:tab w:leader="none" w:pos="11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redefinition of a Participant’s position to a lower compensation rate or grade; or</w:t>
      </w:r>
    </w:p>
    <w:p>
      <w:pPr>
        <w:spacing w:after="0" w:line="202" w:lineRule="exact"/>
        <w:rPr>
          <w:rFonts w:ascii="Arial" w:cs="Arial" w:eastAsia="Arial" w:hAnsi="Arial"/>
          <w:sz w:val="20"/>
          <w:szCs w:val="20"/>
          <w:color w:val="auto"/>
        </w:rPr>
      </w:pPr>
    </w:p>
    <w:p>
      <w:pPr>
        <w:ind w:left="1160" w:hanging="504"/>
        <w:spacing w:after="0"/>
        <w:tabs>
          <w:tab w:leader="none" w:pos="11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Participant’s Separation from Service due to death or disability.</w:t>
      </w:r>
    </w:p>
    <w:p>
      <w:pPr>
        <w:spacing w:after="0" w:line="196"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Release Agreement</w:t>
      </w:r>
      <w:r>
        <w:rPr>
          <w:rFonts w:ascii="Arial" w:cs="Arial" w:eastAsia="Arial" w:hAnsi="Arial"/>
          <w:sz w:val="20"/>
          <w:szCs w:val="20"/>
          <w:color w:val="auto"/>
        </w:rPr>
        <w:t xml:space="preserve">” means the release agreement, substantially in the form set forth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Plan, which a Participant shall be required to execute as a condition to receiving payments and benefits under this Plan.</w:t>
      </w:r>
    </w:p>
    <w:p>
      <w:pPr>
        <w:spacing w:after="0" w:line="176"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Separation from Service</w:t>
      </w:r>
      <w:r>
        <w:rPr>
          <w:rFonts w:ascii="Arial" w:cs="Arial" w:eastAsia="Arial" w:hAnsi="Arial"/>
          <w:sz w:val="20"/>
          <w:szCs w:val="20"/>
          <w:color w:val="auto"/>
        </w:rPr>
        <w:t>” means the date that a Participant separates from service within the meaning of Section 409A of the Code and Treasury Regulation §1.409A-1(h).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Termination Date</w:t>
      </w:r>
      <w:r>
        <w:rPr>
          <w:rFonts w:ascii="Arial" w:cs="Arial" w:eastAsia="Arial" w:hAnsi="Arial"/>
          <w:sz w:val="20"/>
          <w:szCs w:val="20"/>
          <w:color w:val="auto"/>
        </w:rPr>
        <w:t>” means the effective date of a Participant’s Separation from Service.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3. Severance Benefits.</w:t>
      </w:r>
    </w:p>
    <w:p>
      <w:pPr>
        <w:spacing w:after="0" w:line="202" w:lineRule="exact"/>
        <w:rPr>
          <w:sz w:val="20"/>
          <w:szCs w:val="20"/>
          <w:color w:val="auto"/>
        </w:rPr>
      </w:pPr>
    </w:p>
    <w:p>
      <w:pPr>
        <w:jc w:val="both"/>
        <w:ind w:firstLine="656"/>
        <w:spacing w:after="0" w:line="233" w:lineRule="auto"/>
        <w:tabs>
          <w:tab w:leader="none" w:pos="11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 Participant incurs a Qualifying Termination, Good Reason Termination, or Change in Control Termination and executes a Release Agreement and returns it to the Company by the deadline set forth in the Release Agreement, and provided the Participant does not revoke as permitted in the Release Agreement, Company agrees to provide the Participant with the following payments and benefits, subject to appropriate tax withholdings, to which the Participant would be entitled following the end of the seven (7) day revocation period, which shall be payable and provided in accordance with and subject to the terms of the Plan unless otherwise specified below:</w:t>
      </w:r>
    </w:p>
    <w:p>
      <w:pPr>
        <w:spacing w:after="0" w:line="183" w:lineRule="exact"/>
        <w:rPr>
          <w:rFonts w:ascii="Arial" w:cs="Arial" w:eastAsia="Arial" w:hAnsi="Arial"/>
          <w:sz w:val="18"/>
          <w:szCs w:val="18"/>
          <w:color w:val="auto"/>
        </w:rPr>
      </w:pPr>
    </w:p>
    <w:p>
      <w:pPr>
        <w:ind w:left="340" w:firstLine="640"/>
        <w:spacing w:after="0" w:line="229" w:lineRule="auto"/>
        <w:tabs>
          <w:tab w:leader="none" w:pos="1253"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 Company shall pay the Participant as soon as reasonably feasible following the end of the seven (7) day revocation period, and in any event, no later than the Payment Deadline, a lump sum severance amount equal to:</w:t>
      </w:r>
    </w:p>
    <w:p>
      <w:pPr>
        <w:spacing w:after="0" w:line="182" w:lineRule="exact"/>
        <w:rPr>
          <w:rFonts w:ascii="Arial" w:cs="Arial" w:eastAsia="Arial" w:hAnsi="Arial"/>
          <w:sz w:val="20"/>
          <w:szCs w:val="20"/>
          <w:color w:val="auto"/>
        </w:rPr>
      </w:pPr>
    </w:p>
    <w:p>
      <w:pPr>
        <w:jc w:val="both"/>
        <w:ind w:left="660" w:firstLine="644"/>
        <w:spacing w:after="0" w:line="218" w:lineRule="auto"/>
        <w:tabs>
          <w:tab w:leader="none" w:pos="1832" w:val="left"/>
        </w:tabs>
        <w:numPr>
          <w:ilvl w:val="2"/>
          <w:numId w:val="30"/>
        </w:numPr>
        <w:rPr>
          <w:rFonts w:ascii="Arial" w:cs="Arial" w:eastAsia="Arial" w:hAnsi="Arial"/>
          <w:sz w:val="20"/>
          <w:szCs w:val="20"/>
          <w:color w:val="auto"/>
        </w:rPr>
      </w:pPr>
      <w:r>
        <w:rPr>
          <w:rFonts w:ascii="Arial" w:cs="Arial" w:eastAsia="Arial" w:hAnsi="Arial"/>
          <w:sz w:val="20"/>
          <w:szCs w:val="20"/>
          <w:color w:val="auto"/>
        </w:rPr>
        <w:t>in the case of a Change in Control Termination, two (2) times Participant’s Base Compensation, and in the case of a Qualifying Termination or Good Reason Termination that is not a Change in Control Termination, one and one-half (1½) times Participant’s Base Compensation; plus</w:t>
      </w:r>
    </w:p>
    <w:p>
      <w:pPr>
        <w:spacing w:after="0" w:line="183" w:lineRule="exact"/>
        <w:rPr>
          <w:rFonts w:ascii="Arial" w:cs="Arial" w:eastAsia="Arial" w:hAnsi="Arial"/>
          <w:sz w:val="20"/>
          <w:szCs w:val="20"/>
          <w:color w:val="auto"/>
        </w:rPr>
      </w:pPr>
    </w:p>
    <w:p>
      <w:pPr>
        <w:jc w:val="both"/>
        <w:ind w:left="660" w:firstLine="644"/>
        <w:spacing w:after="0" w:line="218" w:lineRule="auto"/>
        <w:tabs>
          <w:tab w:leader="none" w:pos="1827" w:val="left"/>
        </w:tabs>
        <w:numPr>
          <w:ilvl w:val="2"/>
          <w:numId w:val="30"/>
        </w:numPr>
        <w:rPr>
          <w:rFonts w:ascii="Arial" w:cs="Arial" w:eastAsia="Arial" w:hAnsi="Arial"/>
          <w:sz w:val="20"/>
          <w:szCs w:val="20"/>
          <w:color w:val="auto"/>
        </w:rPr>
      </w:pPr>
      <w:r>
        <w:rPr>
          <w:rFonts w:ascii="Arial" w:cs="Arial" w:eastAsia="Arial" w:hAnsi="Arial"/>
          <w:sz w:val="20"/>
          <w:szCs w:val="20"/>
          <w:color w:val="auto"/>
        </w:rPr>
        <w:t>an amount equal to the Participant’s COBRA Subsidy multiplied by twelve (12). To be eligible for a payment under this Section 3(a)(i)(B), the Participant must be enrolled in the Company’s applicable health, dental, or vision benefits on the date of the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399" w:right="339" w:bottom="1440" w:gutter="0" w:footer="0" w:header="0"/>
        </w:sectPr>
      </w:pPr>
    </w:p>
    <w:bookmarkStart w:id="37" w:name="page38"/>
    <w:bookmarkEnd w:id="37"/>
    <w:p>
      <w:pPr>
        <w:jc w:val="both"/>
        <w:ind w:left="340" w:firstLine="640"/>
        <w:spacing w:after="0" w:line="213" w:lineRule="auto"/>
        <w:tabs>
          <w:tab w:leader="none" w:pos="1288" w:val="left"/>
        </w:tabs>
        <w:numPr>
          <w:ilvl w:val="1"/>
          <w:numId w:val="31"/>
        </w:numPr>
        <w:rPr>
          <w:rFonts w:ascii="Arial" w:cs="Arial" w:eastAsia="Arial" w:hAnsi="Arial"/>
          <w:sz w:val="20"/>
          <w:szCs w:val="20"/>
          <w:color w:val="auto"/>
        </w:rPr>
      </w:pPr>
      <w:r>
        <w:rPr>
          <w:rFonts w:ascii="Arial" w:cs="Arial" w:eastAsia="Arial" w:hAnsi="Arial"/>
          <w:sz w:val="20"/>
          <w:szCs w:val="20"/>
          <w:color w:val="auto"/>
        </w:rPr>
        <w:t>Subject to Section 13, the Company, at its expense, shall engage a professional outplacement assistance firm, selected at the Company’s discretion, to provide reasonable outplacement assistance to the Participant for a period not to exceed fifteen (15) months following the Participant’s Termination Date. In no event shall the Company be required to expend more than Fifteen Thousand Dollars ($15,000) for such outplacement assistance for the Participant.</w:t>
      </w:r>
    </w:p>
    <w:p>
      <w:pPr>
        <w:spacing w:after="0" w:line="182" w:lineRule="exact"/>
        <w:rPr>
          <w:rFonts w:ascii="Arial" w:cs="Arial" w:eastAsia="Arial" w:hAnsi="Arial"/>
          <w:sz w:val="20"/>
          <w:szCs w:val="20"/>
          <w:color w:val="auto"/>
        </w:rPr>
      </w:pPr>
    </w:p>
    <w:p>
      <w:pPr>
        <w:jc w:val="both"/>
        <w:ind w:left="340" w:firstLine="640"/>
        <w:spacing w:after="0" w:line="207" w:lineRule="auto"/>
        <w:tabs>
          <w:tab w:leader="none" w:pos="1369"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Participant shall be entitled to a pro-rata award of any award payable under the Company’s applicable short-term incentive plan (the “STI Plan”) for the then-current fiscal year, based upon the Participant’s actual performance and the attainment of goals established under the STI Plan as determined by the Board or the Compensation Committee, as applicable, in its sole discretion. Such pro-rata award shall be payable to the Participant at the time such awards are payable under the STI Plan. The pro-rata portion shall be based on the number of days preceding the Termination Date in the performance period during which the Termination Date occurs, divided by 365.</w:t>
      </w:r>
    </w:p>
    <w:p>
      <w:pPr>
        <w:spacing w:after="0" w:line="186" w:lineRule="exact"/>
        <w:rPr>
          <w:rFonts w:ascii="Arial" w:cs="Arial" w:eastAsia="Arial" w:hAnsi="Arial"/>
          <w:sz w:val="20"/>
          <w:szCs w:val="20"/>
          <w:color w:val="auto"/>
        </w:rPr>
      </w:pPr>
    </w:p>
    <w:p>
      <w:pPr>
        <w:jc w:val="both"/>
        <w:ind w:firstLine="292"/>
        <w:spacing w:after="0" w:line="213" w:lineRule="auto"/>
        <w:tabs>
          <w:tab w:leader="none" w:pos="78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Participant who receives any payments and other benefits under this Section 3 shall not be eligible for any severance-related payments or benefits under any employment-related agreement or plan, policy or program of the Company. The payments and other benefits under this Section 3 shall offset any amounts due under the Worker Adjustment Retraining Notification Act of 1988 or any similar statute or regulation.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4. Equity Awards.</w:t>
      </w:r>
    </w:p>
    <w:p>
      <w:pPr>
        <w:spacing w:after="0" w:line="148" w:lineRule="exact"/>
        <w:rPr>
          <w:sz w:val="20"/>
          <w:szCs w:val="20"/>
          <w:color w:val="auto"/>
        </w:rPr>
      </w:pPr>
    </w:p>
    <w:p>
      <w:pPr>
        <w:jc w:val="both"/>
        <w:ind w:firstLine="249"/>
        <w:spacing w:after="0" w:line="269" w:lineRule="auto"/>
        <w:rPr>
          <w:sz w:val="20"/>
          <w:szCs w:val="20"/>
          <w:color w:val="auto"/>
        </w:rPr>
      </w:pPr>
      <w:r>
        <w:rPr>
          <w:rFonts w:ascii="Arial" w:cs="Arial" w:eastAsia="Arial" w:hAnsi="Arial"/>
          <w:sz w:val="18"/>
          <w:szCs w:val="18"/>
          <w:color w:val="auto"/>
        </w:rPr>
        <w:t>Notwithstanding Section 3(b), nothing under this Plan supersedes or replaces any rights granted to a Participant under HRB’s long-term incentive plans. Awards granted under HRB’s long-term incentive plans shall be treated as provided in the applicable award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5. Repayment; Clawback.</w:t>
      </w:r>
    </w:p>
    <w:p>
      <w:pPr>
        <w:spacing w:after="0" w:line="202" w:lineRule="exact"/>
        <w:rPr>
          <w:sz w:val="20"/>
          <w:szCs w:val="20"/>
          <w:color w:val="auto"/>
        </w:rPr>
      </w:pPr>
    </w:p>
    <w:p>
      <w:pPr>
        <w:jc w:val="both"/>
        <w:ind w:firstLine="648"/>
        <w:spacing w:after="0" w:line="204" w:lineRule="auto"/>
        <w:rPr>
          <w:sz w:val="20"/>
          <w:szCs w:val="20"/>
          <w:color w:val="auto"/>
        </w:rPr>
      </w:pPr>
      <w:r>
        <w:rPr>
          <w:rFonts w:ascii="Arial" w:cs="Arial" w:eastAsia="Arial" w:hAnsi="Arial"/>
          <w:sz w:val="20"/>
          <w:szCs w:val="20"/>
          <w:color w:val="auto"/>
        </w:rPr>
        <w:t>Notwithstanding any provision in this Plan to the contrary, if (i) the Company is required to restate any of its financial statements filed with the Securities and Exchange Commission, other than restatements due solely to factors external to the Company such as a change in accounting principles or a change in securities laws or regulations with retroactive effect or (ii) the Participant violates the provisions of any confidentiality, non-competition, non-solicitation or similar agreement or policy, then the Board may recover or require reimbursement of all severance, equity compensation awards (including profits from the sale of Company stock acquired pursuant to such awards) and/or other payments or benefits made to the Participant under this Plan. In exercising its discretion to recover or require reimbursement of any amounts as a result of any restatement pursuant to clause (i) above, the Board may consider, among other relevant factors, the level of the Participant’s responsibility or influence, as well as the level of others’ responsibility or influence, over the judgments or actions that gave rise to the restatement.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6. Other Payments.</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Upon any Separation from Service entitling the Participant to payments under this Plan, the Participant shall receive all accrued but unpaid salary and all benefits accrued and payable under any plans, policies and programs of the Company, except for benefits payable under any other severance plan, policy or arrangement of the Company.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7. Enforcement.</w:t>
      </w:r>
    </w:p>
    <w:p>
      <w:pPr>
        <w:spacing w:after="0" w:line="202" w:lineRule="exact"/>
        <w:rPr>
          <w:sz w:val="20"/>
          <w:szCs w:val="20"/>
          <w:color w:val="auto"/>
        </w:rPr>
      </w:pPr>
    </w:p>
    <w:p>
      <w:pPr>
        <w:jc w:val="both"/>
        <w:ind w:firstLine="648"/>
        <w:spacing w:after="0" w:line="217" w:lineRule="auto"/>
        <w:rPr>
          <w:sz w:val="20"/>
          <w:szCs w:val="20"/>
          <w:color w:val="auto"/>
        </w:rPr>
      </w:pPr>
      <w:r>
        <w:rPr>
          <w:rFonts w:ascii="Arial" w:cs="Arial" w:eastAsia="Arial" w:hAnsi="Arial"/>
          <w:sz w:val="19"/>
          <w:szCs w:val="19"/>
          <w:color w:val="auto"/>
        </w:rPr>
        <w:t>If a Participant incurs any expenses associated with the successful enforcement of rights under this Plan by arbitration, litigation or other legal action, then the Company shall pay the Participant on demand of all reasonable expenses (including attorneys’ fees and legal expenses) incurred by the Participant in enforcing such rights under this Plan. The Participant shall notify the Company of the expenses for which the Participant demands reimbursement within sixty (60) days after the Participant receives an invoice for such expenses, but in no case before a court, arbitrator, mediator or other judicial panel rules in favor of the Participant with respect to the dispute giving rise to such expenses, and the Company shall pay the reimbursement amount within fifteen (15) days after receipt of such notice, subject to Section 13. For purposes of clarity, the Company shall have no obligation to reimburse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5" w:right="339" w:bottom="1440" w:gutter="0" w:footer="0" w:header="0"/>
        </w:sectPr>
      </w:pPr>
    </w:p>
    <w:bookmarkStart w:id="38" w:name="page39"/>
    <w:bookmarkEnd w:id="38"/>
    <w:p>
      <w:pPr>
        <w:jc w:val="both"/>
        <w:spacing w:after="0" w:line="229" w:lineRule="auto"/>
        <w:rPr>
          <w:sz w:val="20"/>
          <w:szCs w:val="20"/>
          <w:color w:val="auto"/>
        </w:rPr>
      </w:pPr>
      <w:r>
        <w:rPr>
          <w:rFonts w:ascii="Arial" w:cs="Arial" w:eastAsia="Arial" w:hAnsi="Arial"/>
          <w:sz w:val="20"/>
          <w:szCs w:val="20"/>
          <w:color w:val="auto"/>
        </w:rPr>
        <w:t>Participant for any expenses incurred by such Participant if any court, arbitrator, mediator or other judicial panel rules in favor of the Company with respect to the dispute giving rise to such expenses.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8. No Mitigation.</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A Participant shall not be required to mitigate the amount of any payment or benefit provided for in this Plan by seeking other employment or otherwise, nor shall the amount of any payment or benefit provided for herein be reduced by any compensation earned by other employment or otherwise.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9. Nonexclusivity of Rights.</w:t>
      </w:r>
    </w:p>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Nothing in this Plan shall prevent or limit a Participant’s continued or future participation in or rights under any benefit, bonus, incentive or other plan or program provided by the Company and for which the Participant may qualify, except as provided in this Plan.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10. No Set Off.</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The Company’s obligation to make the payments provided for in this Plan and otherwise to perform its obligations hereunder shall not be affected by any circumstances, including, without limitation, any set-off, counterclaim, recoupment, defense or other right which the Company may have against the Participant or others.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11. Taxation.</w:t>
      </w:r>
    </w:p>
    <w:p>
      <w:pPr>
        <w:spacing w:after="0" w:line="202" w:lineRule="exact"/>
        <w:rPr>
          <w:sz w:val="20"/>
          <w:szCs w:val="20"/>
          <w:color w:val="auto"/>
        </w:rPr>
      </w:pPr>
    </w:p>
    <w:p>
      <w:pPr>
        <w:jc w:val="both"/>
        <w:ind w:firstLine="656"/>
        <w:spacing w:after="0" w:line="224" w:lineRule="auto"/>
        <w:tabs>
          <w:tab w:leader="none" w:pos="927"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applicable, this Plan shall be construed and administered consistently with Code Section 409A and the regulations and guidance issued thereunder (“</w:t>
      </w:r>
      <w:r>
        <w:rPr>
          <w:rFonts w:ascii="Arial" w:cs="Arial" w:eastAsia="Arial" w:hAnsi="Arial"/>
          <w:sz w:val="18"/>
          <w:szCs w:val="18"/>
          <w:b w:val="1"/>
          <w:bCs w:val="1"/>
          <w:u w:val="single" w:color="auto"/>
          <w:color w:val="auto"/>
        </w:rPr>
        <w:t>Section 409A</w:t>
      </w:r>
      <w:r>
        <w:rPr>
          <w:rFonts w:ascii="Arial" w:cs="Arial" w:eastAsia="Arial" w:hAnsi="Arial"/>
          <w:sz w:val="18"/>
          <w:szCs w:val="18"/>
          <w:color w:val="auto"/>
        </w:rPr>
        <w:t>”). For purposes of determining whether any payment made pursuant to this Plan results in a “deferral of compensation” within the meaning of Treasury Regulation 1.409A-1(b), the Company shall maximize the exemptions described in such section, as applicable. Any reference to a “termination of employment” or similar term or phrase shall be interpreted as a “separation from service” within the meaning of Section 409A. If any deferred compensation payment is payable while a Participant is a “specified employee” under Section 409A, and payment is due because of Separation from Service for any reason other than death, then payment of such amount shall be delayed for a period of six months and paid in a lump sum on the first payroll payment date following the earlier of the expiration of such six-month period or the Participant’s death. To the extent any payments under this Plan are made in installments, each installment shall be deemed a separate payment for purposes of Section 409A and the regulations issued thereunder. A Participant or the Participant’s beneficiary, as applicable, shall be solely responsible and liable for the satisfaction of all taxes and penalties that may be imposed on such Participant or beneficiary in connection with any payments to the Participant or beneficiary pursuant to this Plan, including but not limited to any taxes, interest and penalties under Section 409A, and the Company shall have no obligation to indemnify or otherwise hold a Participant or a Participant’s beneficiary harmless from any and all of such taxes and penalties.</w:t>
      </w:r>
    </w:p>
    <w:p>
      <w:pPr>
        <w:spacing w:after="0" w:line="188" w:lineRule="exact"/>
        <w:rPr>
          <w:rFonts w:ascii="Arial" w:cs="Arial" w:eastAsia="Arial" w:hAnsi="Arial"/>
          <w:sz w:val="18"/>
          <w:szCs w:val="18"/>
          <w:color w:val="auto"/>
        </w:rPr>
      </w:pPr>
    </w:p>
    <w:p>
      <w:pPr>
        <w:jc w:val="both"/>
        <w:ind w:right="20" w:firstLine="656"/>
        <w:spacing w:after="0" w:line="218" w:lineRule="auto"/>
        <w:tabs>
          <w:tab w:leader="none" w:pos="1149" w:val="left"/>
        </w:tabs>
        <w:numPr>
          <w:ilvl w:val="0"/>
          <w:numId w:val="33"/>
        </w:numPr>
        <w:rPr>
          <w:rFonts w:ascii="Arial" w:cs="Arial" w:eastAsia="Arial" w:hAnsi="Arial"/>
          <w:sz w:val="20"/>
          <w:szCs w:val="20"/>
          <w:color w:val="auto"/>
        </w:rPr>
      </w:pPr>
      <w:r>
        <w:rPr>
          <w:rFonts w:ascii="Arial" w:cs="Arial" w:eastAsia="Arial" w:hAnsi="Arial"/>
          <w:sz w:val="20"/>
          <w:szCs w:val="20"/>
          <w:color w:val="auto"/>
        </w:rPr>
        <w:t>All payments and other benefits received by the Participant under this Plan shall be subject to all requirements of the law with regard to tax withholding and reporting and filing requirements, and the Company shall use its best efforts to satisfy promptly all such requirements.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12. Section 280G Change in Control Payment.</w:t>
      </w:r>
    </w:p>
    <w:p>
      <w:pPr>
        <w:spacing w:after="0" w:line="202" w:lineRule="exact"/>
        <w:rPr>
          <w:sz w:val="20"/>
          <w:szCs w:val="20"/>
          <w:color w:val="auto"/>
        </w:rPr>
      </w:pPr>
    </w:p>
    <w:p>
      <w:pPr>
        <w:jc w:val="both"/>
        <w:ind w:firstLine="656"/>
        <w:spacing w:after="0" w:line="231" w:lineRule="auto"/>
        <w:tabs>
          <w:tab w:leader="none" w:pos="11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that it is determined that any payment or distribution in the nature of compensation (within the meaning of Section 280G(b)(2) of the Code) to or for the benefit of a Participant, whether paid or payable or distributed or distributable pursuant to the terms of this Plan or otherwise (the “</w:t>
      </w:r>
      <w:r>
        <w:rPr>
          <w:rFonts w:ascii="Arial" w:cs="Arial" w:eastAsia="Arial" w:hAnsi="Arial"/>
          <w:sz w:val="18"/>
          <w:szCs w:val="18"/>
          <w:b w:val="1"/>
          <w:bCs w:val="1"/>
          <w:u w:val="single" w:color="auto"/>
          <w:color w:val="auto"/>
        </w:rPr>
        <w:t>Change in Control Payment</w:t>
      </w:r>
      <w:r>
        <w:rPr>
          <w:rFonts w:ascii="Arial" w:cs="Arial" w:eastAsia="Arial" w:hAnsi="Arial"/>
          <w:sz w:val="18"/>
          <w:szCs w:val="18"/>
          <w:color w:val="auto"/>
        </w:rPr>
        <w:t>”), would constitute an “excess parachute payment” within the meaning of Section 280G of the Code, then the Company shall pay to the Participant whichever of the following gives the Participant the highest net after-tax amount (after taking into account all applicable federal, state, local and security taxes): (1) the Change in Control Payment, or (2) the amount that would not result in the imposition of excise tax on the Participant under Code Section 4999. Any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5" w:right="339" w:bottom="1440" w:gutter="0" w:footer="0" w:header="0"/>
        </w:sectPr>
      </w:pPr>
    </w:p>
    <w:bookmarkStart w:id="39" w:name="page40"/>
    <w:bookmarkEnd w:id="39"/>
    <w:p>
      <w:pPr>
        <w:ind w:right="20"/>
        <w:spacing w:after="0" w:line="229" w:lineRule="auto"/>
        <w:rPr>
          <w:sz w:val="20"/>
          <w:szCs w:val="20"/>
          <w:color w:val="auto"/>
        </w:rPr>
      </w:pPr>
      <w:r>
        <w:rPr>
          <w:rFonts w:ascii="Arial" w:cs="Arial" w:eastAsia="Arial" w:hAnsi="Arial"/>
          <w:sz w:val="20"/>
          <w:szCs w:val="20"/>
          <w:color w:val="auto"/>
        </w:rPr>
        <w:t>reduction in the Change in Control Payment pursuant to the foregoing shall be accomplished solely by reducing the lump sum severance payment payable pursuant to Section 3(a)(i) of this Plan.</w:t>
      </w:r>
    </w:p>
    <w:p>
      <w:pPr>
        <w:spacing w:after="0" w:line="182" w:lineRule="exact"/>
        <w:rPr>
          <w:sz w:val="20"/>
          <w:szCs w:val="20"/>
          <w:color w:val="auto"/>
        </w:rPr>
      </w:pPr>
    </w:p>
    <w:p>
      <w:pPr>
        <w:jc w:val="both"/>
        <w:ind w:firstLine="656"/>
        <w:spacing w:after="0" w:line="233" w:lineRule="auto"/>
        <w:tabs>
          <w:tab w:leader="none" w:pos="1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determinations to be made under this Section 12 shall be made by an independent registered public accounting firm selected by the Company immediately prior to the Change in Control (the “</w:t>
      </w:r>
      <w:r>
        <w:rPr>
          <w:rFonts w:ascii="Arial" w:cs="Arial" w:eastAsia="Arial" w:hAnsi="Arial"/>
          <w:sz w:val="18"/>
          <w:szCs w:val="18"/>
          <w:b w:val="1"/>
          <w:bCs w:val="1"/>
          <w:u w:val="single" w:color="auto"/>
          <w:color w:val="auto"/>
        </w:rPr>
        <w:t>Accounting Firm</w:t>
      </w:r>
      <w:r>
        <w:rPr>
          <w:rFonts w:ascii="Arial" w:cs="Arial" w:eastAsia="Arial" w:hAnsi="Arial"/>
          <w:sz w:val="18"/>
          <w:szCs w:val="18"/>
          <w:color w:val="auto"/>
        </w:rPr>
        <w:t>”), which shall provide its determinations and any supporting calculations both to the Company and the Participant within ten (10) days of the Change in Control. Any such determination by the Accounting Firm shall be binding upon the Company and the Participant. All of the fees and expenses of the Accounting Firm in performing the determinations referred to in this Section 12 shall be borne solely by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 Reimbursements.</w:t>
      </w:r>
    </w:p>
    <w:p>
      <w:pPr>
        <w:jc w:val="both"/>
        <w:ind w:firstLine="648"/>
        <w:spacing w:after="0" w:line="214" w:lineRule="auto"/>
        <w:rPr>
          <w:sz w:val="20"/>
          <w:szCs w:val="20"/>
          <w:color w:val="auto"/>
        </w:rPr>
      </w:pPr>
      <w:r>
        <w:rPr>
          <w:rFonts w:ascii="Arial" w:cs="Arial" w:eastAsia="Arial" w:hAnsi="Arial"/>
          <w:sz w:val="19"/>
          <w:szCs w:val="19"/>
          <w:color w:val="auto"/>
        </w:rPr>
        <w:t>Any reimbursements or in-kind benefits to be provided pursuant to this Plan (including, but not limited to under Section 3(a)(ii)) that are taxable to the Participant shall be subject to the following restrictions: (a) each reimbursement must be paid no later than the last day of the calendar year following the calendar year during which the expense was incurred or tax was remitted, as the case may be; (b) the amount of expenses or taxes eligible for reimbursement, or in kind benefits provided, during a calendar year may not affect the expenses or taxes eligible for reimbursement, or in-kind benefits to be provided, in any other calendar year; (c) the period during which any reimbursement may be paid or in-kind benefit may be provided shall end ten (10) years after termination of this Plan; and (d) the right to reimbursement or in-kind benefits is not subject to liquidation or exchange for another benefit.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14. Term.</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This Plan was initially effective May 12, 2009. This amended and restated Plan is effective as of May 9, 2022 and shall continue with respect to a Participant until the earliest of: (a) the Participant’s Separation from Service, or (b) the date the Participant enters into a written separation agreement with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 Successor Company.</w:t>
      </w:r>
    </w:p>
    <w:p>
      <w:pPr>
        <w:jc w:val="both"/>
        <w:ind w:firstLine="648"/>
        <w:spacing w:after="0" w:line="268" w:lineRule="auto"/>
        <w:rPr>
          <w:sz w:val="20"/>
          <w:szCs w:val="20"/>
          <w:color w:val="auto"/>
        </w:rPr>
      </w:pPr>
      <w:r>
        <w:rPr>
          <w:rFonts w:ascii="Arial" w:cs="Arial" w:eastAsia="Arial" w:hAnsi="Arial"/>
          <w:sz w:val="16"/>
          <w:szCs w:val="16"/>
          <w:color w:val="auto"/>
        </w:rPr>
        <w:t>The Company shall require any successor or successors (whether direct or indirect, by purchase, merger or otherwise) to all or substantially all of the business or assets of the Company to acknowledge expressly that this Plan is binding upon and enforceable against the Company in accordance with the terms hereof, and to become jointly and severally obligated with the Company to perform this Plan in the same manner and to the same extent that the Company would be required to perform if no such succession or successions had taken place.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 Notice.</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All notices and other communications required or permitted hereunder or necessary or convenient in connection herewith shall be in writing and shall be delivered personally or mailed by registered or certified mail, return receipt requested, or by overnight express courier service, as follows: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Company, to:</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H&amp;R Block, Inc.</w:t>
      </w:r>
    </w:p>
    <w:p>
      <w:pPr>
        <w:ind w:left="660"/>
        <w:spacing w:after="0" w:line="197" w:lineRule="auto"/>
        <w:rPr>
          <w:sz w:val="20"/>
          <w:szCs w:val="20"/>
          <w:color w:val="auto"/>
        </w:rPr>
      </w:pPr>
      <w:r>
        <w:rPr>
          <w:rFonts w:ascii="Arial" w:cs="Arial" w:eastAsia="Arial" w:hAnsi="Arial"/>
          <w:sz w:val="20"/>
          <w:szCs w:val="20"/>
          <w:color w:val="auto"/>
        </w:rPr>
        <w:t>One H&amp;R Block Way</w:t>
      </w:r>
    </w:p>
    <w:p>
      <w:pPr>
        <w:ind w:left="660"/>
        <w:spacing w:after="0" w:line="197" w:lineRule="auto"/>
        <w:rPr>
          <w:sz w:val="20"/>
          <w:szCs w:val="20"/>
          <w:color w:val="auto"/>
        </w:rPr>
      </w:pPr>
      <w:r>
        <w:rPr>
          <w:rFonts w:ascii="Arial" w:cs="Arial" w:eastAsia="Arial" w:hAnsi="Arial"/>
          <w:sz w:val="20"/>
          <w:szCs w:val="20"/>
          <w:color w:val="auto"/>
        </w:rPr>
        <w:t>Kansas City, MO 64105</w:t>
      </w:r>
    </w:p>
    <w:p>
      <w:pPr>
        <w:ind w:left="660"/>
        <w:spacing w:after="0"/>
        <w:rPr>
          <w:sz w:val="20"/>
          <w:szCs w:val="20"/>
          <w:color w:val="auto"/>
        </w:rPr>
      </w:pPr>
      <w:r>
        <w:rPr>
          <w:rFonts w:ascii="Arial" w:cs="Arial" w:eastAsia="Arial" w:hAnsi="Arial"/>
          <w:sz w:val="20"/>
          <w:szCs w:val="20"/>
          <w:color w:val="auto"/>
        </w:rPr>
        <w:t>Attention: Corporate Secretary</w:t>
      </w:r>
    </w:p>
    <w:p>
      <w:pPr>
        <w:spacing w:after="0" w:line="186"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20"/>
          <w:szCs w:val="20"/>
          <w:color w:val="auto"/>
        </w:rPr>
        <w:t>If to the Participant, to the most recent address provided by the Participant to the Company for payroll purposes, or to such other address as the Company or the Participant, as the case may be, shall designate by notice to the other party hereto in the manner specified in this Section 16; provided, however, that if no such notice is given by the Company following a Change in Control, notice at the last address of the Company or any successor shall be deemed sufficient for the purposes hereof. Any such notice shall be deemed delivered and effective when received in the case of personal delivery, five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05" w:right="339" w:bottom="1440" w:gutter="0" w:footer="0" w:header="0"/>
        </w:sectPr>
      </w:pPr>
    </w:p>
    <w:bookmarkStart w:id="40" w:name="page41"/>
    <w:bookmarkEnd w:id="40"/>
    <w:p>
      <w:pPr>
        <w:jc w:val="both"/>
        <w:spacing w:after="0" w:line="229" w:lineRule="auto"/>
        <w:rPr>
          <w:sz w:val="20"/>
          <w:szCs w:val="20"/>
          <w:color w:val="auto"/>
        </w:rPr>
      </w:pPr>
      <w:r>
        <w:rPr>
          <w:rFonts w:ascii="Arial" w:cs="Arial" w:eastAsia="Arial" w:hAnsi="Arial"/>
          <w:sz w:val="20"/>
          <w:szCs w:val="20"/>
          <w:color w:val="auto"/>
        </w:rPr>
        <w:t>days after deposit, postage prepaid, with the U.S. Postal Service in the case of registered or certified mail, or on the next business day in the case of overnight express courier service.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17. Amendment.</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This Plan may be amended at any time by the Board with respect to all or some of the Participants, provided that any such amendment may not decrease or restrict a Participant’s rights under this Plan without such Participant’s consent.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18. Administration.</w:t>
      </w:r>
    </w:p>
    <w:p>
      <w:pPr>
        <w:spacing w:after="0" w:line="175"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9"/>
          <w:szCs w:val="19"/>
          <w:color w:val="auto"/>
        </w:rPr>
        <w:t>The Plan shall be administered by the Board or by a committee of two or more members of the Board of Directors appointed by the Board which shall have the exclusive discretion and authority to make, amend, interpret and enforce all appropriate rules and regulations for the administration of this Plan and to decide or resolve any and all questions that may arise in connection with the Plan. To the extent the Board appoints a committee, any reference herein regarding the Board’s administration of the Plan shall be construed to apply to such committee. As of the date this amendment and restatement is effective, the Board hereby appoints the compensation committee of the Board of Directors as administrators of the Plan (the “</w:t>
      </w:r>
      <w:r>
        <w:rPr>
          <w:rFonts w:ascii="Arial" w:cs="Arial" w:eastAsia="Arial" w:hAnsi="Arial"/>
          <w:sz w:val="19"/>
          <w:szCs w:val="19"/>
          <w:b w:val="1"/>
          <w:bCs w:val="1"/>
          <w:u w:val="single" w:color="auto"/>
          <w:color w:val="auto"/>
        </w:rPr>
        <w:t>Compensation Committee</w:t>
      </w:r>
      <w:r>
        <w:rPr>
          <w:rFonts w:ascii="Arial" w:cs="Arial" w:eastAsia="Arial" w:hAnsi="Arial"/>
          <w:sz w:val="19"/>
          <w:szCs w:val="19"/>
          <w:color w:val="auto"/>
        </w:rPr>
        <w:t>”).</w:t>
      </w:r>
    </w:p>
    <w:p>
      <w:pPr>
        <w:spacing w:after="0" w:line="159"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8"/>
          <w:szCs w:val="18"/>
          <w:color w:val="auto"/>
        </w:rPr>
        <w:t>Any decision or action of the Board with respect to any question arising out of or in connection with the administration, interpretation and application of the Plan and the rules and regulations promulgated hereunder shall be final and conclusive and binding upon all persons having any interest in the Plan. In the administration of this Plan, the Board (or its appointed committee) may employ agents and delegate to them such administrative duties as the Board deems appropriate (including acting through a duly appointed representative) and may from time to time consult with counsel who may be counsel to the Company. The Company may pay a Participant cash in lieu of the outplacement assistance described in Section 3(a)(ii), if determined to be desirable under the circumstances by the Company’s Chief Executive Officer, or, in the event the Chief Executive Officer is receiving the benefits, the Compensation Committee.</w:t>
      </w:r>
    </w:p>
    <w:p>
      <w:pPr>
        <w:spacing w:after="0" w:line="157"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Except with respect to officers who are designated as executive officers by the Company’s Board of Directors under Section 16 of the Securities Act of 1934, the Board (or its appointed committee) may delegate to one or more executive officers the authority, duties and responsibilities relating to the Company’s rights to prevent, enforce or remedy affirmative or restrictive covenants contained either in this Plan or in a Participant’s Release Agreement, including the authority for such executive officer(s) to further delegate such authority, duties and responsibilities to any other individual or entity, whether or not such person or entity is employed by, an officer of, or affiliated with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19. No Right to Continued Employment.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Nothing in this Plan shall be construed as giving the Participant any right to be retained in the employ of the Company.</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 xml:space="preserve">Section 20. </w:t>
      </w:r>
      <w:r>
        <w:rPr>
          <w:rFonts w:ascii="Arial" w:cs="Arial" w:eastAsia="Arial" w:hAnsi="Arial"/>
          <w:sz w:val="20"/>
          <w:szCs w:val="20"/>
          <w:u w:val="single" w:color="auto"/>
          <w:color w:val="auto"/>
        </w:rPr>
        <w:t>Governing Law.</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This Plan shall be governed by and interpreted under the laws of the State of Missouri without giving effect to any conflict of laws provisions. Any legal action or proceeding with respect with this Plan shall be brought exclusively in the courts of the State of Missouri without regard to any conflicts of law.</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21. Successors and Assigns.</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All of the terms and provisions of this Plan shall be binding upon and inure to the benefit of and be enforceable by the respective heirs, representatives, successors and assigns of the parties hereto, except that the duties and responsibilities of the Participant and the Company hereunder shall not be assignable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05"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20"/>
          <w:szCs w:val="20"/>
          <w:u w:val="single" w:color="auto"/>
          <w:color w:val="auto"/>
        </w:rPr>
        <w:t>Section 22. Severability.</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If any provision of this Plan or application thereof to anyone or under any circumstances shall be determined to be invalid or unenforceable, such invalidity or unenforceability shall not affect any other provisions or applications of this Plan which can be given effect without the invalid or unenforceable provision or application.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23. Remedies Cumulative; No Waiver.</w:t>
      </w:r>
    </w:p>
    <w:p>
      <w:pPr>
        <w:jc w:val="both"/>
        <w:ind w:firstLine="648"/>
        <w:spacing w:after="0" w:line="209" w:lineRule="auto"/>
        <w:rPr>
          <w:sz w:val="20"/>
          <w:szCs w:val="20"/>
          <w:color w:val="auto"/>
        </w:rPr>
      </w:pPr>
      <w:r>
        <w:rPr>
          <w:rFonts w:ascii="Arial" w:cs="Arial" w:eastAsia="Arial" w:hAnsi="Arial"/>
          <w:sz w:val="20"/>
          <w:szCs w:val="20"/>
          <w:color w:val="auto"/>
        </w:rPr>
        <w:t>No right conferred upon the Participant by this Plan is intended to be exclusive of any other right or remedy, and each and every such right or remedy shall be cumulative and shall be in addition to any other right or remedy given hereunder or now or hereafter existing at law or in equity. No delay or omission by the Participant in exercising any right, remedy or power hereunder or existing at law or in equity shall be construed as a waiver thereof.</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24. Headings.</w:t>
      </w:r>
    </w:p>
    <w:p>
      <w:pPr>
        <w:jc w:val="both"/>
        <w:ind w:firstLine="648"/>
        <w:spacing w:after="0" w:line="220" w:lineRule="auto"/>
        <w:rPr>
          <w:sz w:val="20"/>
          <w:szCs w:val="20"/>
          <w:color w:val="auto"/>
        </w:rPr>
      </w:pPr>
      <w:r>
        <w:rPr>
          <w:rFonts w:ascii="Arial" w:cs="Arial" w:eastAsia="Arial" w:hAnsi="Arial"/>
          <w:sz w:val="20"/>
          <w:szCs w:val="20"/>
          <w:color w:val="auto"/>
        </w:rPr>
        <w:t>The captions of the articles, sections and paragraphs of this Plan are for convenience only and shall not control or affect the meaning or construction of any of its provisions.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25. Statement of ERISA Rights and Claims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 statement of ERISA rights and the claims procedures are set forth in Appendix A, attached to this Plan.</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IN WITNESS WHEREOF, the Company has executed this Plan this May 9, 2022. The H&amp;R Block Executive Severance Plan was initially adopted by HRB effective as of May 12, 2009. This amendment and restatement is effective May 9, 2022.</w:t>
      </w:r>
    </w:p>
    <w:p>
      <w:pPr>
        <w:spacing w:after="0" w:line="398"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H&amp;R BLOCK, INC.</w:t>
      </w:r>
    </w:p>
    <w:p>
      <w:pPr>
        <w:spacing w:after="0" w:line="366" w:lineRule="exact"/>
        <w:rPr>
          <w:sz w:val="20"/>
          <w:szCs w:val="20"/>
          <w:color w:val="auto"/>
        </w:rPr>
      </w:pPr>
    </w:p>
    <w:p>
      <w:pPr>
        <w:ind w:left="1000"/>
        <w:spacing w:after="0"/>
        <w:tabs>
          <w:tab w:leader="none" w:pos="14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Tiffany S. Monroe</w:t>
      </w:r>
    </w:p>
    <w:p>
      <w:pPr>
        <w:ind w:left="1200"/>
        <w:spacing w:after="0"/>
        <w:rPr>
          <w:sz w:val="20"/>
          <w:szCs w:val="20"/>
          <w:color w:val="auto"/>
        </w:rPr>
      </w:pPr>
      <w:r>
        <w:rPr>
          <w:rFonts w:ascii="Arial" w:cs="Arial" w:eastAsia="Arial" w:hAnsi="Arial"/>
          <w:sz w:val="20"/>
          <w:szCs w:val="20"/>
          <w:color w:val="auto"/>
        </w:rPr>
        <w:t>Tiffany S. Monroe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814705</wp:posOffset>
            </wp:positionH>
            <wp:positionV relativeFrom="paragraph">
              <wp:posOffset>-144780</wp:posOffset>
            </wp:positionV>
            <wp:extent cx="17100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710055" cy="8255"/>
                    </a:xfrm>
                    <a:prstGeom prst="rect">
                      <a:avLst/>
                    </a:prstGeom>
                    <a:noFill/>
                  </pic:spPr>
                </pic:pic>
              </a:graphicData>
            </a:graphic>
          </wp:anchor>
        </w:drawing>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 Chief People and Culture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05" w:right="339" w:bottom="1440" w:gutter="0" w:footer="0" w:header="0"/>
        </w:sectPr>
      </w:pPr>
    </w:p>
    <w:bookmarkStart w:id="42" w:name="page43"/>
    <w:bookmarkEnd w:id="42"/>
    <w:p>
      <w:pPr>
        <w:ind w:left="5020"/>
        <w:spacing w:after="0"/>
        <w:rPr>
          <w:sz w:val="20"/>
          <w:szCs w:val="20"/>
          <w:color w:val="auto"/>
        </w:rPr>
      </w:pPr>
      <w:r>
        <w:rPr>
          <w:rFonts w:ascii="Arial" w:cs="Arial" w:eastAsia="Arial" w:hAnsi="Arial"/>
          <w:sz w:val="20"/>
          <w:szCs w:val="20"/>
          <w:b w:val="1"/>
          <w:bCs w:val="1"/>
          <w:u w:val="single" w:color="auto"/>
          <w:color w:val="auto"/>
        </w:rPr>
        <w:t>APPENDIX A</w:t>
      </w:r>
    </w:p>
    <w:p>
      <w:pPr>
        <w:spacing w:after="0" w:line="208" w:lineRule="exact"/>
        <w:rPr>
          <w:sz w:val="20"/>
          <w:szCs w:val="20"/>
          <w:color w:val="auto"/>
        </w:rPr>
      </w:pPr>
    </w:p>
    <w:p>
      <w:pPr>
        <w:ind w:left="2900"/>
        <w:spacing w:after="0"/>
        <w:rPr>
          <w:sz w:val="20"/>
          <w:szCs w:val="20"/>
          <w:color w:val="auto"/>
        </w:rPr>
      </w:pPr>
      <w:r>
        <w:rPr>
          <w:rFonts w:ascii="Arial" w:cs="Arial" w:eastAsia="Arial" w:hAnsi="Arial"/>
          <w:sz w:val="20"/>
          <w:szCs w:val="20"/>
          <w:color w:val="auto"/>
        </w:rPr>
        <w:t>STATEMENT OF ERISA RIGHTS AND CLAIMS PROCEDURES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Statement of ERISA Rights</w:t>
      </w:r>
      <w:r>
        <w:rPr>
          <w:rFonts w:ascii="Arial" w:cs="Arial" w:eastAsia="Arial" w:hAnsi="Arial"/>
          <w:sz w:val="20"/>
          <w:szCs w:val="20"/>
          <w:color w:val="auto"/>
        </w:rPr>
        <w: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accordance with ERISA, each Participant shall be entitled to:</w:t>
      </w:r>
    </w:p>
    <w:p>
      <w:pPr>
        <w:spacing w:after="0" w:line="202" w:lineRule="exact"/>
        <w:rPr>
          <w:sz w:val="20"/>
          <w:szCs w:val="20"/>
          <w:color w:val="auto"/>
        </w:rPr>
      </w:pPr>
    </w:p>
    <w:p>
      <w:pPr>
        <w:jc w:val="both"/>
        <w:ind w:left="660" w:firstLine="633"/>
        <w:spacing w:after="0" w:line="218" w:lineRule="auto"/>
        <w:tabs>
          <w:tab w:leader="none" w:pos="1851" w:val="left"/>
        </w:tabs>
        <w:numPr>
          <w:ilvl w:val="0"/>
          <w:numId w:val="36"/>
        </w:numPr>
        <w:rPr>
          <w:rFonts w:ascii="Arial" w:cs="Arial" w:eastAsia="Arial" w:hAnsi="Arial"/>
          <w:sz w:val="20"/>
          <w:szCs w:val="20"/>
          <w:color w:val="auto"/>
        </w:rPr>
      </w:pPr>
      <w:r>
        <w:rPr>
          <w:rFonts w:ascii="Arial" w:cs="Arial" w:eastAsia="Arial" w:hAnsi="Arial"/>
          <w:sz w:val="20"/>
          <w:szCs w:val="20"/>
          <w:color w:val="auto"/>
        </w:rPr>
        <w:t>Examine, without charge (by contacting the Plan Administrator) all Plan documents and copies of all documents governing the Plan and a copy of the latest annual report (Form 5500 series) filed by the Plan with the U.S. Department of Labor and available at the Public Disclosure Room of the Employee Benefits Security Administration;</w:t>
      </w:r>
    </w:p>
    <w:p>
      <w:pPr>
        <w:spacing w:after="0" w:line="156" w:lineRule="exact"/>
        <w:rPr>
          <w:rFonts w:ascii="Arial" w:cs="Arial" w:eastAsia="Arial" w:hAnsi="Arial"/>
          <w:sz w:val="20"/>
          <w:szCs w:val="20"/>
          <w:color w:val="auto"/>
        </w:rPr>
      </w:pPr>
    </w:p>
    <w:p>
      <w:pPr>
        <w:ind w:left="660" w:firstLine="633"/>
        <w:spacing w:after="0" w:line="229" w:lineRule="auto"/>
        <w:tabs>
          <w:tab w:leader="none" w:pos="1829" w:val="left"/>
        </w:tabs>
        <w:numPr>
          <w:ilvl w:val="0"/>
          <w:numId w:val="36"/>
        </w:numPr>
        <w:rPr>
          <w:rFonts w:ascii="Arial" w:cs="Arial" w:eastAsia="Arial" w:hAnsi="Arial"/>
          <w:sz w:val="20"/>
          <w:szCs w:val="20"/>
          <w:color w:val="auto"/>
        </w:rPr>
      </w:pPr>
      <w:r>
        <w:rPr>
          <w:rFonts w:ascii="Arial" w:cs="Arial" w:eastAsia="Arial" w:hAnsi="Arial"/>
          <w:sz w:val="20"/>
          <w:szCs w:val="20"/>
          <w:color w:val="auto"/>
        </w:rPr>
        <w:t>Obtain copies of all Plan documents and other Plan information upon written request to the Plan Administrator. A reasonable fee may be charged for these copies;</w:t>
      </w:r>
    </w:p>
    <w:p>
      <w:pPr>
        <w:spacing w:after="0" w:line="155" w:lineRule="exact"/>
        <w:rPr>
          <w:rFonts w:ascii="Arial" w:cs="Arial" w:eastAsia="Arial" w:hAnsi="Arial"/>
          <w:sz w:val="20"/>
          <w:szCs w:val="20"/>
          <w:color w:val="auto"/>
        </w:rPr>
      </w:pPr>
    </w:p>
    <w:p>
      <w:pPr>
        <w:ind w:left="660" w:firstLine="633"/>
        <w:spacing w:after="0" w:line="229" w:lineRule="auto"/>
        <w:tabs>
          <w:tab w:leader="none" w:pos="1737"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Receive a summary of the Plan’s annual financial report. The Plan Administrator is required to furnish each Participant with a copy of this summary annual report; and</w:t>
      </w:r>
    </w:p>
    <w:p>
      <w:pPr>
        <w:spacing w:after="0" w:line="155" w:lineRule="exact"/>
        <w:rPr>
          <w:rFonts w:ascii="Arial" w:cs="Arial" w:eastAsia="Arial" w:hAnsi="Arial"/>
          <w:sz w:val="20"/>
          <w:szCs w:val="20"/>
          <w:color w:val="auto"/>
        </w:rPr>
      </w:pPr>
    </w:p>
    <w:p>
      <w:pPr>
        <w:ind w:left="1720" w:hanging="427"/>
        <w:spacing w:after="0"/>
        <w:tabs>
          <w:tab w:leader="none" w:pos="17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Obtain a statement showing the Participant’s account balance (if any).</w:t>
      </w:r>
    </w:p>
    <w:p>
      <w:pPr>
        <w:spacing w:after="0" w:line="175"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In addition to creating rights for Plan Participants, ERISA imposes duties upon the persons who are responsible for the operation of the Plan. The persons who operate the Plan are called “fiduciaries” and have a duty to operate the Plan prudently and in the interest of Plan Participants and beneficiaries. No one, including the employer, may fire a Participant or otherwise discriminate against the Participant in any way to prevent the Participant from obtaining a benefit or exercising rights under ERISA. If a claim for a benefit is denied in whole or in part the Participant must receive a written explanation of the reason for the denial. The Participant has the right to have the Plan Administrator review and reconsider the claim.</w:t>
      </w:r>
    </w:p>
    <w:p>
      <w:pPr>
        <w:spacing w:after="0" w:line="1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Under ERISA, there are steps a Participant can take to enforce the above rights. For instance, if a Participant requests any of the materials listed above from the Plan Administrator and does not receive them within 30 days, the Participant may file suit in a federal court. In such a case, the court may require the Plan Administrator to provide the materials and pay up to $110 a day until the Participant receives the materials, unless the materials were not provided because of reasons beyond the control of the Plan Administrator.</w:t>
      </w:r>
    </w:p>
    <w:p>
      <w:pPr>
        <w:spacing w:after="0" w:line="158"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8"/>
          <w:szCs w:val="18"/>
          <w:color w:val="auto"/>
        </w:rPr>
        <w:t>If a claim for benefits is denied or ignored, either in whole or in part, the Participant may file suit in a state or federal court. In the event that Plan fiduciaries misuse the Plan’s funds, or if the Participant is discriminated against for asserting the Participant’s rights, the Participant may seek assistance from the U.S. Department of Labor, or file suit in a federal court. The court will decide who should pay court costs and legal fees. If a Participant is successful the court may order the person have sued to pay these costs and fees. But if the Participant loses, the court may order the Participant to pay these costs and fees if, for example, it finds the claim is frivolous.</w:t>
      </w:r>
    </w:p>
    <w:p>
      <w:pPr>
        <w:spacing w:after="0" w:line="156"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20"/>
          <w:szCs w:val="20"/>
          <w:color w:val="auto"/>
        </w:rPr>
        <w:t>Any questions concerning the Plan should be directed to the Plan Administrator. Additional information about this statement or a Participant’s rights under ERISA may be obtained from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A Participant may also obtain certain publications about rights and responsibilities under ERISA by calling the publications hotline of the Employee Benefits Security Administration.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Claims Procedures</w:t>
      </w:r>
      <w:r>
        <w:rPr>
          <w:rFonts w:ascii="Arial" w:cs="Arial" w:eastAsia="Arial" w:hAnsi="Arial"/>
          <w:sz w:val="20"/>
          <w:szCs w:val="20"/>
          <w:color w:val="auto"/>
        </w:rPr>
        <w:t>.</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Any Participant may deliver to the Board a written claim for a determination with respect to the amounts distributable to such Participant from the Plan. If such a claim relates to the contents of a notice received by the Participant, the claim must be made within sixty (60) days after such notice was received</w:t>
      </w:r>
    </w:p>
    <w:p>
      <w:pPr>
        <w:sectPr>
          <w:pgSz w:w="11900" w:h="16838" w:orient="portrait"/>
          <w:cols w:equalWidth="0" w:num="1">
            <w:col w:w="11240"/>
          </w:cols>
          <w:pgMar w:left="320" w:top="1399" w:right="339" w:bottom="1440" w:gutter="0" w:footer="0" w:header="0"/>
        </w:sectPr>
      </w:pPr>
    </w:p>
    <w:bookmarkStart w:id="43" w:name="page44"/>
    <w:bookmarkEnd w:id="43"/>
    <w:p>
      <w:pPr>
        <w:jc w:val="both"/>
        <w:spacing w:after="0" w:line="229" w:lineRule="auto"/>
        <w:rPr>
          <w:sz w:val="20"/>
          <w:szCs w:val="20"/>
          <w:color w:val="auto"/>
        </w:rPr>
      </w:pPr>
      <w:r>
        <w:rPr>
          <w:rFonts w:ascii="Arial" w:cs="Arial" w:eastAsia="Arial" w:hAnsi="Arial"/>
          <w:sz w:val="20"/>
          <w:szCs w:val="20"/>
          <w:color w:val="auto"/>
        </w:rPr>
        <w:t>by the Participant. The claim must state with particularity the determination desired by the Participant. All other claims must be made within 180 days of the date on which the event that caused the claim to arise occurred.</w:t>
      </w:r>
    </w:p>
    <w:p>
      <w:pPr>
        <w:spacing w:after="0" w:line="18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The Board shall consider a Participant’s claim within seventy-five (75) days (unless special circumstances require additional time), and shall notify the Participant in writing: (i) that the Participant’s requested determination has been made, and that the claim has been allowed in full; or (ii) that the Board has reached a conclusion contrary, in whole or in part, to the Participant’s requested determination. Such notice must set forth in a manner calculated to be understood by the Participant and include the following information:</w:t>
      </w:r>
    </w:p>
    <w:p>
      <w:pPr>
        <w:spacing w:after="0" w:line="185" w:lineRule="exact"/>
        <w:rPr>
          <w:sz w:val="20"/>
          <w:szCs w:val="20"/>
          <w:color w:val="auto"/>
        </w:rPr>
      </w:pPr>
    </w:p>
    <w:p>
      <w:pPr>
        <w:ind w:left="1720" w:hanging="416"/>
        <w:spacing w:after="0"/>
        <w:tabs>
          <w:tab w:leader="none" w:pos="1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specific reason(s) for the denial of the claim, or any part of it;</w:t>
      </w:r>
    </w:p>
    <w:p>
      <w:pPr>
        <w:spacing w:after="0" w:line="202" w:lineRule="exact"/>
        <w:rPr>
          <w:rFonts w:ascii="Arial" w:cs="Arial" w:eastAsia="Arial" w:hAnsi="Arial"/>
          <w:sz w:val="20"/>
          <w:szCs w:val="20"/>
          <w:color w:val="auto"/>
        </w:rPr>
      </w:pPr>
    </w:p>
    <w:p>
      <w:pPr>
        <w:ind w:left="1740" w:hanging="436"/>
        <w:spacing w:after="0"/>
        <w:tabs>
          <w:tab w:leader="none" w:pos="17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specific reference(s) to pertinent provisions of the Plan upon which such denial was based;</w:t>
      </w:r>
    </w:p>
    <w:p>
      <w:pPr>
        <w:spacing w:after="0" w:line="202" w:lineRule="exact"/>
        <w:rPr>
          <w:rFonts w:ascii="Arial" w:cs="Arial" w:eastAsia="Arial" w:hAnsi="Arial"/>
          <w:sz w:val="20"/>
          <w:szCs w:val="20"/>
          <w:color w:val="auto"/>
        </w:rPr>
      </w:pPr>
    </w:p>
    <w:p>
      <w:pPr>
        <w:ind w:left="660" w:firstLine="644"/>
        <w:spacing w:after="0" w:line="229" w:lineRule="auto"/>
        <w:tabs>
          <w:tab w:leader="none" w:pos="1862"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description of any additional material or information necessary for the Participant to perfect the claim, and an explanation of why such material or information is necessary; and</w:t>
      </w:r>
    </w:p>
    <w:p>
      <w:pPr>
        <w:spacing w:after="0" w:line="182" w:lineRule="exact"/>
        <w:rPr>
          <w:rFonts w:ascii="Arial" w:cs="Arial" w:eastAsia="Arial" w:hAnsi="Arial"/>
          <w:sz w:val="20"/>
          <w:szCs w:val="20"/>
          <w:color w:val="auto"/>
        </w:rPr>
      </w:pPr>
    </w:p>
    <w:p>
      <w:pPr>
        <w:ind w:left="1740" w:hanging="436"/>
        <w:spacing w:after="0"/>
        <w:tabs>
          <w:tab w:leader="none" w:pos="17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explanation of the claim review procedure set forth below.</w:t>
      </w: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Within sixty (60) days after receiving a notice from the Board that a claim has been denied, in whole or in part, a Participant (or the Participant’s duly authorized representative) may file with the Board a written request for a review of the denial of the claim. Thereafter, but not later than thirty (30) days after the review procedure began, the Participant (or the Participant’s duly authorized representative):</w:t>
      </w:r>
    </w:p>
    <w:p>
      <w:pPr>
        <w:spacing w:after="0" w:line="179" w:lineRule="exact"/>
        <w:rPr>
          <w:sz w:val="20"/>
          <w:szCs w:val="20"/>
          <w:color w:val="auto"/>
        </w:rPr>
      </w:pPr>
    </w:p>
    <w:p>
      <w:pPr>
        <w:ind w:left="1940" w:hanging="636"/>
        <w:spacing w:after="0"/>
        <w:tabs>
          <w:tab w:leader="none" w:pos="19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may review pertinent documents;</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may submit written comments or other documents; and/or</w:t>
      </w:r>
    </w:p>
    <w:p>
      <w:pPr>
        <w:spacing w:after="0" w:line="202" w:lineRule="exact"/>
        <w:rPr>
          <w:rFonts w:ascii="Arial" w:cs="Arial" w:eastAsia="Arial" w:hAnsi="Arial"/>
          <w:sz w:val="20"/>
          <w:szCs w:val="20"/>
          <w:color w:val="auto"/>
        </w:rPr>
      </w:pPr>
    </w:p>
    <w:p>
      <w:pPr>
        <w:ind w:left="1960" w:hanging="656"/>
        <w:spacing w:after="0"/>
        <w:tabs>
          <w:tab w:leader="none" w:pos="19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may request a hearing, which the Board, in its sole discretion, may grant.</w:t>
      </w:r>
    </w:p>
    <w:p>
      <w:pPr>
        <w:spacing w:after="0" w:line="202"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The Board shall render its decision on review promptly, and not later than sixty (60) days after the filing of a written request for review of the denial, unless a hearing is held or other special circumstances require additional time, in which case the Board’s decision must be rendered within 120 days after such date. Such decision must be written in a manner calculated to be understood by the Participant, and in the case of an adverse determination, it must contain:</w:t>
      </w:r>
    </w:p>
    <w:p>
      <w:pPr>
        <w:spacing w:after="0" w:line="183" w:lineRule="exact"/>
        <w:rPr>
          <w:sz w:val="20"/>
          <w:szCs w:val="20"/>
          <w:color w:val="auto"/>
        </w:rPr>
      </w:pPr>
    </w:p>
    <w:p>
      <w:pPr>
        <w:ind w:left="1740" w:hanging="436"/>
        <w:spacing w:after="0"/>
        <w:tabs>
          <w:tab w:leader="none" w:pos="1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specific reasons for the decision;</w:t>
      </w:r>
    </w:p>
    <w:p>
      <w:pPr>
        <w:spacing w:after="0" w:line="202" w:lineRule="exact"/>
        <w:rPr>
          <w:rFonts w:ascii="Arial" w:cs="Arial" w:eastAsia="Arial" w:hAnsi="Arial"/>
          <w:sz w:val="20"/>
          <w:szCs w:val="20"/>
          <w:color w:val="auto"/>
        </w:rPr>
      </w:pPr>
    </w:p>
    <w:p>
      <w:pPr>
        <w:ind w:left="1740" w:hanging="436"/>
        <w:spacing w:after="0"/>
        <w:tabs>
          <w:tab w:leader="none" w:pos="1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specific reference(s) to the pertinent Plan provisions upon which the decision was based; and</w:t>
      </w:r>
    </w:p>
    <w:p>
      <w:pPr>
        <w:spacing w:after="0" w:line="202" w:lineRule="exact"/>
        <w:rPr>
          <w:rFonts w:ascii="Arial" w:cs="Arial" w:eastAsia="Arial" w:hAnsi="Arial"/>
          <w:sz w:val="20"/>
          <w:szCs w:val="20"/>
          <w:color w:val="auto"/>
        </w:rPr>
      </w:pPr>
    </w:p>
    <w:p>
      <w:pPr>
        <w:ind w:left="1720" w:hanging="416"/>
        <w:spacing w:after="0"/>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such other matters as the Board deems relevant.</w:t>
      </w:r>
    </w:p>
    <w:p>
      <w:pPr>
        <w:spacing w:after="0" w:line="20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0"/>
          <w:szCs w:val="20"/>
          <w:color w:val="auto"/>
        </w:rPr>
        <w:t>A Participant’s compliance with the foregoing provisions of this Section 2 is a mandatory prerequisite to a Participant’s right to commence any legal action with respect to any claim for benefits under this Plan. Service of legal process shall be made to: H&amp;R Block Management, LLC, Attention: General Counsel, One H&amp;R Block Way, Kansas City, Missouri 64105.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 – Page 2</w:t>
      </w:r>
    </w:p>
    <w:p>
      <w:pPr>
        <w:sectPr>
          <w:pgSz w:w="11900" w:h="16838" w:orient="portrait"/>
          <w:cols w:equalWidth="0" w:num="1">
            <w:col w:w="11240"/>
          </w:cols>
          <w:pgMar w:left="320" w:top="1405"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SEVERANCE AND RELEASE AGREEMENT</w:t>
      </w:r>
    </w:p>
    <w:p>
      <w:pPr>
        <w:spacing w:after="0" w:line="169" w:lineRule="exact"/>
        <w:rPr>
          <w:sz w:val="20"/>
          <w:szCs w:val="20"/>
          <w:color w:val="auto"/>
        </w:rPr>
      </w:pPr>
    </w:p>
    <w:p>
      <w:pPr>
        <w:ind w:firstLine="211"/>
        <w:spacing w:after="0" w:line="249" w:lineRule="auto"/>
        <w:rPr>
          <w:sz w:val="20"/>
          <w:szCs w:val="20"/>
          <w:color w:val="auto"/>
        </w:rPr>
      </w:pPr>
      <w:r>
        <w:rPr>
          <w:rFonts w:ascii="Arial" w:cs="Arial" w:eastAsia="Arial" w:hAnsi="Arial"/>
          <w:sz w:val="19"/>
          <w:szCs w:val="19"/>
          <w:b w:val="1"/>
          <w:bCs w:val="1"/>
          <w:color w:val="auto"/>
        </w:rPr>
        <w:t xml:space="preserve">[EMPLOYEE] </w:t>
      </w:r>
      <w:r>
        <w:rPr>
          <w:rFonts w:ascii="Arial" w:cs="Arial" w:eastAsia="Arial" w:hAnsi="Arial"/>
          <w:sz w:val="19"/>
          <w:szCs w:val="19"/>
          <w:color w:val="auto"/>
        </w:rPr>
        <w:t>(“</w:t>
      </w:r>
      <w:r>
        <w:rPr>
          <w:rFonts w:ascii="Arial" w:cs="Arial" w:eastAsia="Arial" w:hAnsi="Arial"/>
          <w:sz w:val="19"/>
          <w:szCs w:val="19"/>
          <w:b w:val="1"/>
          <w:bCs w:val="1"/>
          <w:u w:val="single" w:color="auto"/>
          <w:color w:val="auto"/>
        </w:rPr>
        <w:t>Employee</w:t>
      </w:r>
      <w:r>
        <w:rPr>
          <w:rFonts w:ascii="Arial" w:cs="Arial" w:eastAsia="Arial" w:hAnsi="Arial"/>
          <w:sz w:val="19"/>
          <w:szCs w:val="19"/>
          <w:color w:val="auto"/>
        </w:rPr>
        <w:t>”) and</w:t>
      </w:r>
      <w:r>
        <w:rPr>
          <w:rFonts w:ascii="Arial" w:cs="Arial" w:eastAsia="Arial" w:hAnsi="Arial"/>
          <w:sz w:val="19"/>
          <w:szCs w:val="19"/>
          <w:b w:val="1"/>
          <w:bCs w:val="1"/>
          <w:color w:val="auto"/>
        </w:rPr>
        <w:t xml:space="preserve"> [EMPLOYING ENTITY]</w:t>
      </w:r>
      <w:r>
        <w:rPr>
          <w:rFonts w:ascii="Arial" w:cs="Arial" w:eastAsia="Arial" w:hAnsi="Arial"/>
          <w:sz w:val="19"/>
          <w:szCs w:val="19"/>
          <w:color w:val="auto"/>
        </w:rPr>
        <w:t>, its parents, subsidiaries, affiliates, and assigns (collectively,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enter into this Severance and Release Agreement (“</w:t>
      </w:r>
      <w:r>
        <w:rPr>
          <w:rFonts w:ascii="Arial" w:cs="Arial" w:eastAsia="Arial" w:hAnsi="Arial"/>
          <w:sz w:val="19"/>
          <w:szCs w:val="19"/>
          <w:b w:val="1"/>
          <w:bCs w:val="1"/>
          <w:u w:val="single" w:color="auto"/>
          <w:color w:val="auto"/>
        </w:rPr>
        <w:t>Release Agreement</w:t>
      </w:r>
      <w:r>
        <w:rPr>
          <w:rFonts w:ascii="Arial" w:cs="Arial" w:eastAsia="Arial" w:hAnsi="Arial"/>
          <w:sz w:val="19"/>
          <w:szCs w:val="19"/>
          <w:color w:val="auto"/>
        </w:rPr>
        <w:t>”) under the terms and conditions recited below.</w:t>
      </w:r>
    </w:p>
    <w:p>
      <w:pPr>
        <w:spacing w:after="0" w:line="147" w:lineRule="exact"/>
        <w:rPr>
          <w:sz w:val="20"/>
          <w:szCs w:val="20"/>
          <w:color w:val="auto"/>
        </w:rPr>
      </w:pPr>
    </w:p>
    <w:p>
      <w:pPr>
        <w:ind w:left="960" w:hanging="304"/>
        <w:spacing w:after="0"/>
        <w:tabs>
          <w:tab w:leader="none" w:pos="96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Recitations</w:t>
      </w:r>
    </w:p>
    <w:p>
      <w:pPr>
        <w:spacing w:after="0" w:line="169" w:lineRule="exact"/>
        <w:rPr>
          <w:sz w:val="20"/>
          <w:szCs w:val="20"/>
          <w:color w:val="auto"/>
        </w:rPr>
      </w:pPr>
    </w:p>
    <w:p>
      <w:pPr>
        <w:ind w:right="20" w:firstLine="656"/>
        <w:spacing w:after="0" w:line="232" w:lineRule="auto"/>
        <w:tabs>
          <w:tab w:leader="none" w:pos="1068"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Employee is currently employed as </w:t>
      </w:r>
      <w:r>
        <w:rPr>
          <w:rFonts w:ascii="Arial" w:cs="Arial" w:eastAsia="Arial" w:hAnsi="Arial"/>
          <w:sz w:val="20"/>
          <w:szCs w:val="20"/>
          <w:b w:val="1"/>
          <w:bCs w:val="1"/>
          <w:color w:val="auto"/>
        </w:rPr>
        <w:t>[TITLE]</w:t>
      </w:r>
      <w:r>
        <w:rPr>
          <w:rFonts w:ascii="Arial" w:cs="Arial" w:eastAsia="Arial" w:hAnsi="Arial"/>
          <w:sz w:val="20"/>
          <w:szCs w:val="20"/>
          <w:color w:val="auto"/>
        </w:rPr>
        <w:t xml:space="preserve">. Due to changing business needs, Employee has been notified and Employee has agreed that Employee’s employment will end on </w:t>
      </w:r>
      <w:r>
        <w:rPr>
          <w:rFonts w:ascii="Arial" w:cs="Arial" w:eastAsia="Arial" w:hAnsi="Arial"/>
          <w:sz w:val="20"/>
          <w:szCs w:val="20"/>
          <w:b w:val="1"/>
          <w:bCs w:val="1"/>
          <w:color w:val="auto"/>
        </w:rPr>
        <w:t>[TERM DATE]</w:t>
      </w:r>
      <w:r>
        <w:rPr>
          <w:rFonts w:ascii="Arial" w:cs="Arial" w:eastAsia="Arial" w:hAnsi="Arial"/>
          <w:sz w:val="20"/>
          <w:szCs w:val="20"/>
          <w:color w:val="auto"/>
        </w:rPr>
        <w:t xml:space="preserve"> (the “</w:t>
      </w:r>
      <w:r>
        <w:rPr>
          <w:rFonts w:ascii="Arial" w:cs="Arial" w:eastAsia="Arial" w:hAnsi="Arial"/>
          <w:sz w:val="20"/>
          <w:szCs w:val="20"/>
          <w:b w:val="1"/>
          <w:bCs w:val="1"/>
          <w:u w:val="single" w:color="auto"/>
          <w:color w:val="auto"/>
        </w:rPr>
        <w:t>Termination Date</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656"/>
        <w:spacing w:after="0" w:line="269" w:lineRule="auto"/>
        <w:tabs>
          <w:tab w:leader="none" w:pos="10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Employee and Company wish to enter into a full and final settlement of all issues and matters that exist between them, which include, but are not limited to, any issues and matters that may have arisen out of Employee’s employment with or separation from Company.</w:t>
      </w:r>
    </w:p>
    <w:p>
      <w:pPr>
        <w:spacing w:after="0" w:line="130" w:lineRule="exact"/>
        <w:rPr>
          <w:rFonts w:ascii="Arial" w:cs="Arial" w:eastAsia="Arial" w:hAnsi="Arial"/>
          <w:sz w:val="18"/>
          <w:szCs w:val="18"/>
          <w:color w:val="auto"/>
        </w:rPr>
      </w:pPr>
    </w:p>
    <w:p>
      <w:pPr>
        <w:ind w:firstLine="656"/>
        <w:spacing w:after="0" w:line="229" w:lineRule="auto"/>
        <w:tabs>
          <w:tab w:leader="none" w:pos="1039" w:val="left"/>
        </w:tabs>
        <w:numPr>
          <w:ilvl w:val="0"/>
          <w:numId w:val="41"/>
        </w:numPr>
        <w:rPr>
          <w:rFonts w:ascii="Arial" w:cs="Arial" w:eastAsia="Arial" w:hAnsi="Arial"/>
          <w:sz w:val="20"/>
          <w:szCs w:val="20"/>
          <w:color w:val="auto"/>
        </w:rPr>
      </w:pPr>
      <w:r>
        <w:rPr>
          <w:rFonts w:ascii="Arial" w:cs="Arial" w:eastAsia="Arial" w:hAnsi="Arial"/>
          <w:sz w:val="20"/>
          <w:szCs w:val="20"/>
          <w:color w:val="auto"/>
        </w:rPr>
        <w:t>Employee specifically acknowledges that Company has advised Employee to seek Employee’s own personal legal counsel prior to signing this Release Agreement.</w:t>
      </w:r>
    </w:p>
    <w:p>
      <w:pPr>
        <w:spacing w:after="0" w:line="155" w:lineRule="exact"/>
        <w:rPr>
          <w:rFonts w:ascii="Arial" w:cs="Arial" w:eastAsia="Arial" w:hAnsi="Arial"/>
          <w:sz w:val="20"/>
          <w:szCs w:val="20"/>
          <w:color w:val="auto"/>
        </w:rPr>
      </w:pPr>
    </w:p>
    <w:p>
      <w:pPr>
        <w:ind w:right="20" w:firstLine="656"/>
        <w:spacing w:after="0" w:line="229" w:lineRule="auto"/>
        <w:tabs>
          <w:tab w:leader="none" w:pos="107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 exchange for the mutual promises of Employee and Company set forth in this Release Agreement, Employee and Company agree to the terms and conditions set forth below.</w:t>
      </w:r>
    </w:p>
    <w:p>
      <w:pPr>
        <w:spacing w:after="0" w:line="155" w:lineRule="exact"/>
        <w:rPr>
          <w:sz w:val="20"/>
          <w:szCs w:val="20"/>
          <w:color w:val="auto"/>
        </w:rPr>
      </w:pPr>
    </w:p>
    <w:p>
      <w:pPr>
        <w:ind w:left="1040" w:hanging="384"/>
        <w:spacing w:after="0"/>
        <w:tabs>
          <w:tab w:leader="none" w:pos="104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Basic Terms of the Release Agreement</w:t>
      </w:r>
    </w:p>
    <w:p>
      <w:pPr>
        <w:spacing w:after="0" w:line="169" w:lineRule="exact"/>
        <w:rPr>
          <w:sz w:val="20"/>
          <w:szCs w:val="20"/>
          <w:color w:val="auto"/>
        </w:rPr>
      </w:pPr>
    </w:p>
    <w:p>
      <w:pPr>
        <w:jc w:val="both"/>
        <w:ind w:firstLine="656"/>
        <w:spacing w:after="0" w:line="218" w:lineRule="auto"/>
        <w:tabs>
          <w:tab w:leader="none" w:pos="128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The parties agree to treat Employee’s separation from employment as </w:t>
      </w:r>
      <w:r>
        <w:rPr>
          <w:rFonts w:ascii="Arial" w:cs="Arial" w:eastAsia="Arial" w:hAnsi="Arial"/>
          <w:sz w:val="19"/>
          <w:szCs w:val="19"/>
          <w:b w:val="1"/>
          <w:bCs w:val="1"/>
          <w:color w:val="auto"/>
        </w:rPr>
        <w:t>[a Change in Control Termination] OR [a</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Qualifying Termination / Good Reason Termination, but not a Change in Control Termination,] </w:t>
      </w:r>
      <w:r>
        <w:rPr>
          <w:rFonts w:ascii="Arial" w:cs="Arial" w:eastAsia="Arial" w:hAnsi="Arial"/>
          <w:sz w:val="19"/>
          <w:szCs w:val="19"/>
          <w:color w:val="auto"/>
        </w:rPr>
        <w:t>as defined in the H&amp;R Block, Inc.</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Severance Plan applicable to Employee (the “</w:t>
      </w: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a copy of which is attached to this Release Agreement as Exhibit A. Accordingly, following the Company’s receipt of a fully executed copy of this Release Agreement, and provided that Employee does not revoke as permitted in section III(A) below, Company agrees to provide Employee with the following payments and benefits to which Employee would be entitled, subject to appropriate tax withholdings and post lapse of the seven-day revocation period, which shall be payable and provided in accordance with and subject to the terms of the Plan unless otherwise specified below:</w:t>
      </w:r>
    </w:p>
    <w:p>
      <w:pPr>
        <w:spacing w:after="0" w:line="155" w:lineRule="exact"/>
        <w:rPr>
          <w:rFonts w:ascii="Arial" w:cs="Arial" w:eastAsia="Arial" w:hAnsi="Arial"/>
          <w:sz w:val="19"/>
          <w:szCs w:val="19"/>
          <w:color w:val="auto"/>
        </w:rPr>
      </w:pPr>
    </w:p>
    <w:p>
      <w:pPr>
        <w:jc w:val="both"/>
        <w:ind w:firstLine="1304"/>
        <w:spacing w:after="0" w:line="213" w:lineRule="auto"/>
        <w:tabs>
          <w:tab w:leader="none" w:pos="1656" w:val="left"/>
        </w:tabs>
        <w:numPr>
          <w:ilvl w:val="1"/>
          <w:numId w:val="43"/>
        </w:numPr>
        <w:rPr>
          <w:rFonts w:ascii="Arial" w:cs="Arial" w:eastAsia="Arial" w:hAnsi="Arial"/>
          <w:sz w:val="20"/>
          <w:szCs w:val="20"/>
          <w:color w:val="auto"/>
        </w:rPr>
      </w:pPr>
      <w:r>
        <w:rPr>
          <w:rFonts w:ascii="Arial" w:cs="Arial" w:eastAsia="Arial" w:hAnsi="Arial"/>
          <w:sz w:val="20"/>
          <w:szCs w:val="20"/>
          <w:i w:val="1"/>
          <w:iCs w:val="1"/>
          <w:color w:val="auto"/>
        </w:rPr>
        <w:t>Severance Payment</w:t>
      </w:r>
      <w:r>
        <w:rPr>
          <w:rFonts w:ascii="Arial" w:cs="Arial" w:eastAsia="Arial" w:hAnsi="Arial"/>
          <w:sz w:val="20"/>
          <w:szCs w:val="20"/>
          <w:color w:val="auto"/>
        </w:rPr>
        <w:t>. As soon as reasonably feasible following the end of the seven (7)-day revocation period and in any</w:t>
      </w:r>
      <w:r>
        <w:rPr>
          <w:rFonts w:ascii="Arial" w:cs="Arial" w:eastAsia="Arial" w:hAnsi="Arial"/>
          <w:sz w:val="20"/>
          <w:szCs w:val="20"/>
          <w:i w:val="1"/>
          <w:iCs w:val="1"/>
          <w:color w:val="auto"/>
        </w:rPr>
        <w:t xml:space="preserve"> </w:t>
      </w:r>
      <w:r>
        <w:rPr>
          <w:rFonts w:ascii="Arial" w:cs="Arial" w:eastAsia="Arial" w:hAnsi="Arial"/>
          <w:sz w:val="20"/>
          <w:szCs w:val="20"/>
          <w:color w:val="auto"/>
        </w:rPr>
        <w:t>event no later than sixty (60) days following the Termination Date (the “</w:t>
      </w:r>
      <w:r>
        <w:rPr>
          <w:rFonts w:ascii="Arial" w:cs="Arial" w:eastAsia="Arial" w:hAnsi="Arial"/>
          <w:sz w:val="20"/>
          <w:szCs w:val="20"/>
          <w:b w:val="1"/>
          <w:bCs w:val="1"/>
          <w:u w:val="single" w:color="auto"/>
          <w:color w:val="auto"/>
        </w:rPr>
        <w:t>Payment Deadline</w:t>
      </w:r>
      <w:r>
        <w:rPr>
          <w:rFonts w:ascii="Arial" w:cs="Arial" w:eastAsia="Arial" w:hAnsi="Arial"/>
          <w:sz w:val="20"/>
          <w:szCs w:val="20"/>
          <w:color w:val="auto"/>
        </w:rPr>
        <w:t>”), Company will pay Employee a lump sum payment in the amount of $</w:t>
      </w:r>
      <w:r>
        <w:rPr>
          <w:rFonts w:ascii="Arial" w:cs="Arial" w:eastAsia="Arial" w:hAnsi="Arial"/>
          <w:sz w:val="20"/>
          <w:szCs w:val="20"/>
          <w:b w:val="1"/>
          <w:bCs w:val="1"/>
          <w:color w:val="auto"/>
        </w:rPr>
        <w:t>[insert amount]</w:t>
      </w:r>
      <w:r>
        <w:rPr>
          <w:rFonts w:ascii="Arial" w:cs="Arial" w:eastAsia="Arial" w:hAnsi="Arial"/>
          <w:sz w:val="20"/>
          <w:szCs w:val="20"/>
          <w:color w:val="auto"/>
        </w:rPr>
        <w:t>, less applicable tax withholdings. This severance payment consists of the sum of the following components:</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[For Change in Control Termination:]</w:t>
      </w:r>
    </w:p>
    <w:p>
      <w:pPr>
        <w:spacing w:after="0" w:line="175" w:lineRule="exact"/>
        <w:rPr>
          <w:sz w:val="20"/>
          <w:szCs w:val="20"/>
          <w:color w:val="auto"/>
        </w:rPr>
      </w:pPr>
    </w:p>
    <w:p>
      <w:pPr>
        <w:ind w:left="2600" w:hanging="648"/>
        <w:spacing w:after="0"/>
        <w:tabs>
          <w:tab w:leader="none" w:pos="260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Two (2) times Employee’s Base Compensation, which is equal to $</w:t>
      </w:r>
      <w:r>
        <w:rPr>
          <w:rFonts w:ascii="Arial" w:cs="Arial" w:eastAsia="Arial" w:hAnsi="Arial"/>
          <w:sz w:val="20"/>
          <w:szCs w:val="20"/>
          <w:b w:val="1"/>
          <w:bCs w:val="1"/>
          <w:color w:val="auto"/>
        </w:rPr>
        <w:t>[insert amount]</w:t>
      </w:r>
      <w:r>
        <w:rPr>
          <w:rFonts w:ascii="Arial" w:cs="Arial" w:eastAsia="Arial" w:hAnsi="Arial"/>
          <w:sz w:val="20"/>
          <w:szCs w:val="20"/>
          <w:color w:val="auto"/>
        </w:rPr>
        <w:t>;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[For Qualifying Termination or Good Reason Termination that is not a Change in Control Termination:]</w:t>
      </w:r>
    </w:p>
    <w:p>
      <w:pPr>
        <w:spacing w:after="0" w:line="175" w:lineRule="exact"/>
        <w:rPr>
          <w:sz w:val="20"/>
          <w:szCs w:val="20"/>
          <w:color w:val="auto"/>
        </w:rPr>
      </w:pPr>
    </w:p>
    <w:p>
      <w:pPr>
        <w:ind w:left="2600" w:hanging="648"/>
        <w:spacing w:after="0"/>
        <w:tabs>
          <w:tab w:leader="none" w:pos="26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 and one-half (1½) times Employee’s Base Compensation, which is equal to $</w:t>
      </w:r>
      <w:r>
        <w:rPr>
          <w:rFonts w:ascii="Arial" w:cs="Arial" w:eastAsia="Arial" w:hAnsi="Arial"/>
          <w:sz w:val="18"/>
          <w:szCs w:val="18"/>
          <w:b w:val="1"/>
          <w:bCs w:val="1"/>
          <w:color w:val="auto"/>
        </w:rPr>
        <w:t>[insert amount]</w:t>
      </w:r>
      <w:r>
        <w:rPr>
          <w:rFonts w:ascii="Arial" w:cs="Arial" w:eastAsia="Arial" w:hAnsi="Arial"/>
          <w:sz w:val="18"/>
          <w:szCs w:val="18"/>
          <w:color w:val="auto"/>
        </w:rPr>
        <w:t>; and</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[For Change in Control Termination, Qualifying Termination, or Good Reason Termination:]</w:t>
      </w:r>
    </w:p>
    <w:p>
      <w:pPr>
        <w:sectPr>
          <w:pgSz w:w="11900" w:h="16838" w:orient="portrait"/>
          <w:cols w:equalWidth="0" w:num="1">
            <w:col w:w="11240"/>
          </w:cols>
          <w:pgMar w:left="320" w:top="1399" w:right="339" w:bottom="1440" w:gutter="0" w:footer="0" w:header="0"/>
        </w:sectPr>
      </w:pPr>
    </w:p>
    <w:bookmarkStart w:id="45" w:name="page46"/>
    <w:bookmarkEnd w:id="45"/>
    <w:p>
      <w:pPr>
        <w:spacing w:after="0" w:line="182" w:lineRule="exact"/>
        <w:rPr>
          <w:sz w:val="20"/>
          <w:szCs w:val="20"/>
          <w:color w:val="auto"/>
        </w:rPr>
      </w:pPr>
    </w:p>
    <w:p>
      <w:pPr>
        <w:jc w:val="both"/>
        <w:ind w:left="1300" w:firstLine="652"/>
        <w:spacing w:after="0" w:line="218" w:lineRule="auto"/>
        <w:tabs>
          <w:tab w:leader="none" w:pos="2584" w:val="left"/>
        </w:tabs>
        <w:numPr>
          <w:ilvl w:val="2"/>
          <w:numId w:val="46"/>
        </w:numPr>
        <w:rPr>
          <w:rFonts w:ascii="Arial" w:cs="Arial" w:eastAsia="Arial" w:hAnsi="Arial"/>
          <w:sz w:val="20"/>
          <w:szCs w:val="20"/>
          <w:color w:val="auto"/>
        </w:rPr>
      </w:pPr>
      <w:r>
        <w:rPr>
          <w:rFonts w:ascii="Arial" w:cs="Arial" w:eastAsia="Arial" w:hAnsi="Arial"/>
          <w:sz w:val="20"/>
          <w:szCs w:val="20"/>
          <w:color w:val="auto"/>
        </w:rPr>
        <w:t>A COBRA subsidy equal to the Company’s regular monthly premium, if any, paid toward the Employee’s health and welfare benefits as of Employee’s last day worked multiplied by twelve (12) months, which is equal to $</w:t>
      </w:r>
      <w:r>
        <w:rPr>
          <w:rFonts w:ascii="Arial" w:cs="Arial" w:eastAsia="Arial" w:hAnsi="Arial"/>
          <w:sz w:val="20"/>
          <w:szCs w:val="20"/>
          <w:b w:val="1"/>
          <w:bCs w:val="1"/>
          <w:color w:val="auto"/>
        </w:rPr>
        <w:t>[insert</w:t>
      </w:r>
      <w:r>
        <w:rPr>
          <w:rFonts w:ascii="Arial" w:cs="Arial" w:eastAsia="Arial" w:hAnsi="Arial"/>
          <w:sz w:val="20"/>
          <w:szCs w:val="20"/>
          <w:color w:val="auto"/>
        </w:rPr>
        <w:t xml:space="preserve"> </w:t>
      </w:r>
      <w:r>
        <w:rPr>
          <w:rFonts w:ascii="Arial" w:cs="Arial" w:eastAsia="Arial" w:hAnsi="Arial"/>
          <w:sz w:val="20"/>
          <w:szCs w:val="20"/>
          <w:b w:val="1"/>
          <w:bCs w:val="1"/>
          <w:color w:val="auto"/>
        </w:rPr>
        <w:t>amount]</w:t>
      </w:r>
      <w:r>
        <w:rPr>
          <w:rFonts w:ascii="Arial" w:cs="Arial" w:eastAsia="Arial" w:hAnsi="Arial"/>
          <w:sz w:val="20"/>
          <w:szCs w:val="20"/>
          <w:color w:val="auto"/>
        </w:rPr>
        <w:t>.</w:t>
      </w:r>
    </w:p>
    <w:p>
      <w:pPr>
        <w:spacing w:after="0" w:line="156" w:lineRule="exact"/>
        <w:rPr>
          <w:rFonts w:ascii="Arial" w:cs="Arial" w:eastAsia="Arial" w:hAnsi="Arial"/>
          <w:sz w:val="20"/>
          <w:szCs w:val="20"/>
          <w:color w:val="auto"/>
        </w:rPr>
      </w:pPr>
    </w:p>
    <w:p>
      <w:pPr>
        <w:jc w:val="both"/>
        <w:ind w:firstLine="1304"/>
        <w:spacing w:after="0" w:line="224" w:lineRule="auto"/>
        <w:tabs>
          <w:tab w:leader="none" w:pos="1777" w:val="left"/>
        </w:tabs>
        <w:numPr>
          <w:ilvl w:val="1"/>
          <w:numId w:val="47"/>
        </w:numPr>
        <w:rPr>
          <w:rFonts w:ascii="Arial" w:cs="Arial" w:eastAsia="Arial" w:hAnsi="Arial"/>
          <w:sz w:val="19"/>
          <w:szCs w:val="19"/>
          <w:color w:val="auto"/>
        </w:rPr>
      </w:pPr>
      <w:r>
        <w:rPr>
          <w:rFonts w:ascii="Arial" w:cs="Arial" w:eastAsia="Arial" w:hAnsi="Arial"/>
          <w:sz w:val="19"/>
          <w:szCs w:val="19"/>
          <w:i w:val="1"/>
          <w:iCs w:val="1"/>
          <w:color w:val="auto"/>
        </w:rPr>
        <w:t>Outplacement Services</w:t>
      </w:r>
      <w:r>
        <w:rPr>
          <w:rFonts w:ascii="Arial" w:cs="Arial" w:eastAsia="Arial" w:hAnsi="Arial"/>
          <w:sz w:val="19"/>
          <w:szCs w:val="19"/>
          <w:color w:val="auto"/>
        </w:rPr>
        <w:t>. Company will pay directly to a professional outplacement assistance firm, selected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discretion, to obtain reasonable outplacement assistance to be provided to Employee until the earlier to occur of (a) the date Employee obtains other employment; or (b) fifteen (15) months following the Termination Date. In no event shall the Company be required to expend more than Fifteen Thousand Dollars ($15,000) for such outplacement assistance for the Participant.</w:t>
      </w:r>
    </w:p>
    <w:p>
      <w:pPr>
        <w:spacing w:after="0" w:line="156" w:lineRule="exact"/>
        <w:rPr>
          <w:rFonts w:ascii="Arial" w:cs="Arial" w:eastAsia="Arial" w:hAnsi="Arial"/>
          <w:sz w:val="19"/>
          <w:szCs w:val="19"/>
          <w:color w:val="auto"/>
        </w:rPr>
      </w:pPr>
    </w:p>
    <w:p>
      <w:pPr>
        <w:jc w:val="both"/>
        <w:ind w:firstLine="1304"/>
        <w:spacing w:after="0" w:line="231" w:lineRule="auto"/>
        <w:tabs>
          <w:tab w:leader="none" w:pos="1818"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Short-Term Incentive Payment</w:t>
      </w:r>
      <w:r>
        <w:rPr>
          <w:rFonts w:ascii="Arial" w:cs="Arial" w:eastAsia="Arial" w:hAnsi="Arial"/>
          <w:sz w:val="18"/>
          <w:szCs w:val="18"/>
          <w:color w:val="auto"/>
        </w:rPr>
        <w:t>. Company will pay Employee a pro-rata award of any award payable under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applicable STI Plan for fiscal year </w:t>
      </w:r>
      <w:r>
        <w:rPr>
          <w:rFonts w:ascii="Arial" w:cs="Arial" w:eastAsia="Arial" w:hAnsi="Arial"/>
          <w:sz w:val="18"/>
          <w:szCs w:val="18"/>
          <w:b w:val="1"/>
          <w:bCs w:val="1"/>
          <w:color w:val="auto"/>
        </w:rPr>
        <w:t>[insert applicable year]</w:t>
      </w:r>
      <w:r>
        <w:rPr>
          <w:rFonts w:ascii="Arial" w:cs="Arial" w:eastAsia="Arial" w:hAnsi="Arial"/>
          <w:sz w:val="18"/>
          <w:szCs w:val="18"/>
          <w:color w:val="auto"/>
        </w:rPr>
        <w:t xml:space="preserve"> based upon Employee’s actual performance and the Company’s attainment of goals established under the STI Plan as determined by the Compensation Committee of the H&amp;R Block, Inc. Board of Directors in its sole discretion. Such pro-rata award, if any, shall be payable less applicable tax withholdings and in accordance with the Company’s short-term incentive process and subject to the terms and conditions of any applicable STI Plan. Company will pay Employee any short-term incentive award due to Employee at the time such awards are generally payable under the applicable STI Plan to other participants.</w:t>
      </w:r>
    </w:p>
    <w:p>
      <w:pPr>
        <w:spacing w:after="0" w:line="154" w:lineRule="exact"/>
        <w:rPr>
          <w:rFonts w:ascii="Arial" w:cs="Arial" w:eastAsia="Arial" w:hAnsi="Arial"/>
          <w:sz w:val="18"/>
          <w:szCs w:val="18"/>
          <w:color w:val="auto"/>
        </w:rPr>
      </w:pPr>
    </w:p>
    <w:p>
      <w:pPr>
        <w:jc w:val="both"/>
        <w:ind w:firstLine="1304"/>
        <w:spacing w:after="0" w:line="244" w:lineRule="auto"/>
        <w:tabs>
          <w:tab w:leader="none" w:pos="1818"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Equity-Based Awards</w:t>
      </w:r>
      <w:r>
        <w:rPr>
          <w:rFonts w:ascii="Arial" w:cs="Arial" w:eastAsia="Arial" w:hAnsi="Arial"/>
          <w:sz w:val="18"/>
          <w:szCs w:val="18"/>
          <w:color w:val="auto"/>
        </w:rPr>
        <w:t>. Any outstanding equity-based awards, including any stock options, restricted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and market stock units, granted to Employee shall be treated as provided in the applicable award agreement. A list of the awards outstanding as of the Termination Date and that shall be forfeited on the Termination Date is attached as Exhibit B.</w:t>
      </w:r>
    </w:p>
    <w:p>
      <w:pPr>
        <w:spacing w:after="0" w:line="151" w:lineRule="exact"/>
        <w:rPr>
          <w:rFonts w:ascii="Arial" w:cs="Arial" w:eastAsia="Arial" w:hAnsi="Arial"/>
          <w:sz w:val="18"/>
          <w:szCs w:val="18"/>
          <w:color w:val="auto"/>
        </w:rPr>
      </w:pPr>
    </w:p>
    <w:p>
      <w:pPr>
        <w:ind w:left="1040" w:hanging="384"/>
        <w:spacing w:after="0"/>
        <w:tabs>
          <w:tab w:leader="none" w:pos="10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Employee agrees to the following:</w:t>
      </w:r>
    </w:p>
    <w:p>
      <w:pPr>
        <w:spacing w:after="0" w:line="175" w:lineRule="exact"/>
        <w:rPr>
          <w:rFonts w:ascii="Arial" w:cs="Arial" w:eastAsia="Arial" w:hAnsi="Arial"/>
          <w:sz w:val="20"/>
          <w:szCs w:val="20"/>
          <w:color w:val="auto"/>
        </w:rPr>
      </w:pPr>
    </w:p>
    <w:p>
      <w:pPr>
        <w:jc w:val="both"/>
        <w:ind w:firstLine="1304"/>
        <w:spacing w:after="0" w:line="218" w:lineRule="auto"/>
        <w:tabs>
          <w:tab w:leader="none" w:pos="1642" w:val="left"/>
        </w:tabs>
        <w:numPr>
          <w:ilvl w:val="1"/>
          <w:numId w:val="48"/>
        </w:numPr>
        <w:rPr>
          <w:rFonts w:ascii="Arial" w:cs="Arial" w:eastAsia="Arial" w:hAnsi="Arial"/>
          <w:sz w:val="19"/>
          <w:szCs w:val="19"/>
          <w:color w:val="auto"/>
        </w:rPr>
      </w:pPr>
      <w:r>
        <w:rPr>
          <w:rFonts w:ascii="Arial" w:cs="Arial" w:eastAsia="Arial" w:hAnsi="Arial"/>
          <w:sz w:val="19"/>
          <w:szCs w:val="19"/>
          <w:i w:val="1"/>
          <w:iCs w:val="1"/>
          <w:color w:val="auto"/>
        </w:rPr>
        <w:t>Release of Claims</w:t>
      </w:r>
      <w:r>
        <w:rPr>
          <w:rFonts w:ascii="Arial" w:cs="Arial" w:eastAsia="Arial" w:hAnsi="Arial"/>
          <w:sz w:val="19"/>
          <w:szCs w:val="19"/>
          <w:color w:val="auto"/>
        </w:rPr>
        <w:t>. Employee agrees to and hereby does release and forever discharge Company, and each and every one</w:t>
      </w:r>
      <w:r>
        <w:rPr>
          <w:rFonts w:ascii="Arial" w:cs="Arial" w:eastAsia="Arial" w:hAnsi="Arial"/>
          <w:sz w:val="19"/>
          <w:szCs w:val="19"/>
          <w:i w:val="1"/>
          <w:iCs w:val="1"/>
          <w:color w:val="auto"/>
        </w:rPr>
        <w:t xml:space="preserve"> </w:t>
      </w:r>
      <w:r>
        <w:rPr>
          <w:rFonts w:ascii="Arial" w:cs="Arial" w:eastAsia="Arial" w:hAnsi="Arial"/>
          <w:sz w:val="19"/>
          <w:szCs w:val="19"/>
          <w:color w:val="auto"/>
        </w:rPr>
        <w:t>of its component, predecessor and successor companies, and their respective past and present agents, officers, executives, employees, attorneys, and directors (collectively the “</w:t>
      </w:r>
      <w:r>
        <w:rPr>
          <w:rFonts w:ascii="Arial" w:cs="Arial" w:eastAsia="Arial" w:hAnsi="Arial"/>
          <w:sz w:val="19"/>
          <w:szCs w:val="19"/>
          <w:b w:val="1"/>
          <w:bCs w:val="1"/>
          <w:u w:val="single" w:color="auto"/>
          <w:color w:val="auto"/>
        </w:rPr>
        <w:t>Released Parties</w:t>
      </w:r>
      <w:r>
        <w:rPr>
          <w:rFonts w:ascii="Arial" w:cs="Arial" w:eastAsia="Arial" w:hAnsi="Arial"/>
          <w:sz w:val="19"/>
          <w:szCs w:val="19"/>
          <w:color w:val="auto"/>
        </w:rPr>
        <w:t>”) from any and all matters, claims, charges, demands, damages, causes of action, debts, liabilities, controversies, claims for attorneys’ fees, judgments, and suits of every kind and nature whatsoever, foreseen or unforeseen, known or unknown, which have arisen between Employee and the Released Parties up to the date Employee signs this Release Agreement, all as more fully set forth in sections IV(A) through (E) below.</w:t>
      </w:r>
    </w:p>
    <w:p>
      <w:pPr>
        <w:spacing w:after="0" w:line="159" w:lineRule="exact"/>
        <w:rPr>
          <w:rFonts w:ascii="Arial" w:cs="Arial" w:eastAsia="Arial" w:hAnsi="Arial"/>
          <w:sz w:val="19"/>
          <w:szCs w:val="19"/>
          <w:color w:val="auto"/>
        </w:rPr>
      </w:pPr>
    </w:p>
    <w:p>
      <w:pPr>
        <w:jc w:val="both"/>
        <w:ind w:firstLine="1304"/>
        <w:spacing w:after="0" w:line="221" w:lineRule="auto"/>
        <w:tabs>
          <w:tab w:leader="none" w:pos="1750" w:val="left"/>
        </w:tabs>
        <w:numPr>
          <w:ilvl w:val="1"/>
          <w:numId w:val="48"/>
        </w:numPr>
        <w:rPr>
          <w:rFonts w:ascii="Arial" w:cs="Arial" w:eastAsia="Arial" w:hAnsi="Arial"/>
          <w:sz w:val="19"/>
          <w:szCs w:val="19"/>
          <w:color w:val="auto"/>
        </w:rPr>
      </w:pPr>
      <w:r>
        <w:rPr>
          <w:rFonts w:ascii="Arial" w:cs="Arial" w:eastAsia="Arial" w:hAnsi="Arial"/>
          <w:sz w:val="19"/>
          <w:szCs w:val="19"/>
          <w:i w:val="1"/>
          <w:iCs w:val="1"/>
          <w:color w:val="auto"/>
        </w:rPr>
        <w:t>Confidential Information</w:t>
      </w:r>
      <w:r>
        <w:rPr>
          <w:rFonts w:ascii="Arial" w:cs="Arial" w:eastAsia="Arial" w:hAnsi="Arial"/>
          <w:sz w:val="19"/>
          <w:szCs w:val="19"/>
          <w:color w:val="auto"/>
        </w:rPr>
        <w:t>. Employee agrees that Employee will not, without the prior written consent of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directly or indirectly use for the benefit of any person or entity other than Company, or make known, divulge or communicate to any person, firm, corporation or other entity, any confidential or proprietary information, knowledge or trade secrets acquired, developed or learned of by Employee during Employee’s employment with Company. Employee shall not retain after the Termination Date, any document, record, paper, disk, tape or compilation of information relating to any such confidential information.</w:t>
      </w:r>
    </w:p>
    <w:p>
      <w:pPr>
        <w:spacing w:after="0" w:line="155" w:lineRule="exact"/>
        <w:rPr>
          <w:rFonts w:ascii="Arial" w:cs="Arial" w:eastAsia="Arial" w:hAnsi="Arial"/>
          <w:sz w:val="19"/>
          <w:szCs w:val="19"/>
          <w:color w:val="auto"/>
        </w:rPr>
      </w:pPr>
    </w:p>
    <w:p>
      <w:pPr>
        <w:jc w:val="both"/>
        <w:ind w:firstLine="1304"/>
        <w:spacing w:after="0" w:line="233" w:lineRule="auto"/>
        <w:tabs>
          <w:tab w:leader="none" w:pos="1777"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Return of Company Property</w:t>
      </w:r>
      <w:r>
        <w:rPr>
          <w:rFonts w:ascii="Arial" w:cs="Arial" w:eastAsia="Arial" w:hAnsi="Arial"/>
          <w:sz w:val="18"/>
          <w:szCs w:val="18"/>
          <w:color w:val="auto"/>
        </w:rPr>
        <w:t>. Employee shall return to Company by the Termination Date, any and all things 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possession or control relating to Company, including but not limited to any equipment issued to Employee, all correspondence, reports, contracts, financial or budget information, personnel or labor relations files, office keys, manuals, and all similar materials not specifically listed here. Employee further agrees that as of the Termination Date Employee will have no outstanding balance on Employee’s corporate credit card for which appropriate travel and expense accounting has not been submitted.</w:t>
      </w:r>
    </w:p>
    <w:p>
      <w:pPr>
        <w:spacing w:after="0" w:line="156" w:lineRule="exact"/>
        <w:rPr>
          <w:rFonts w:ascii="Arial" w:cs="Arial" w:eastAsia="Arial" w:hAnsi="Arial"/>
          <w:sz w:val="18"/>
          <w:szCs w:val="18"/>
          <w:color w:val="auto"/>
        </w:rPr>
      </w:pPr>
    </w:p>
    <w:p>
      <w:pPr>
        <w:jc w:val="both"/>
        <w:ind w:firstLine="1304"/>
        <w:spacing w:after="0" w:line="213" w:lineRule="auto"/>
        <w:tabs>
          <w:tab w:leader="none" w:pos="1764" w:val="left"/>
        </w:tabs>
        <w:numPr>
          <w:ilvl w:val="1"/>
          <w:numId w:val="48"/>
        </w:numPr>
        <w:rPr>
          <w:rFonts w:ascii="Arial" w:cs="Arial" w:eastAsia="Arial" w:hAnsi="Arial"/>
          <w:sz w:val="20"/>
          <w:szCs w:val="20"/>
          <w:color w:val="auto"/>
        </w:rPr>
      </w:pPr>
      <w:r>
        <w:rPr>
          <w:rFonts w:ascii="Arial" w:cs="Arial" w:eastAsia="Arial" w:hAnsi="Arial"/>
          <w:sz w:val="20"/>
          <w:szCs w:val="20"/>
          <w:i w:val="1"/>
          <w:iCs w:val="1"/>
          <w:color w:val="auto"/>
        </w:rPr>
        <w:t>Legal Hold</w:t>
      </w:r>
      <w:r>
        <w:rPr>
          <w:rFonts w:ascii="Arial" w:cs="Arial" w:eastAsia="Arial" w:hAnsi="Arial"/>
          <w:sz w:val="20"/>
          <w:szCs w:val="20"/>
          <w:color w:val="auto"/>
        </w:rPr>
        <w:t>. To the extent Employee has received a Preservation Notice/Legal Hold from the Legal Department,</w:t>
      </w:r>
      <w:r>
        <w:rPr>
          <w:rFonts w:ascii="Arial" w:cs="Arial" w:eastAsia="Arial" w:hAnsi="Arial"/>
          <w:sz w:val="20"/>
          <w:szCs w:val="20"/>
          <w:i w:val="1"/>
          <w:iCs w:val="1"/>
          <w:color w:val="auto"/>
        </w:rPr>
        <w:t xml:space="preserve"> </w:t>
      </w:r>
      <w:r>
        <w:rPr>
          <w:rFonts w:ascii="Arial" w:cs="Arial" w:eastAsia="Arial" w:hAnsi="Arial"/>
          <w:sz w:val="20"/>
          <w:szCs w:val="20"/>
          <w:color w:val="auto"/>
        </w:rPr>
        <w:t>Employee shall take all necessary steps to preserve information related in any way to the Preservation Notice/Legal Hold in its original format and location and will not modify, delete or destroy such information. Employee will notify the Legal Department of the nature and location of any and all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60" w:lineRule="exact"/>
        <w:rPr>
          <w:sz w:val="20"/>
          <w:szCs w:val="20"/>
          <w:color w:val="auto"/>
        </w:rPr>
      </w:pPr>
    </w:p>
    <w:p>
      <w:pPr>
        <w:jc w:val="both"/>
        <w:ind w:firstLine="1304"/>
        <w:spacing w:after="0" w:line="213" w:lineRule="auto"/>
        <w:tabs>
          <w:tab w:leader="none" w:pos="1953"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Confidentiality &amp; Restrictive Covenant Agreement</w:t>
      </w:r>
      <w:r>
        <w:rPr>
          <w:rFonts w:ascii="Arial" w:cs="Arial" w:eastAsia="Arial" w:hAnsi="Arial"/>
          <w:sz w:val="20"/>
          <w:szCs w:val="20"/>
          <w:color w:val="auto"/>
        </w:rPr>
        <w:t>. Employee acknowledges that Employee entered into a</w:t>
      </w:r>
      <w:r>
        <w:rPr>
          <w:rFonts w:ascii="Arial" w:cs="Arial" w:eastAsia="Arial" w:hAnsi="Arial"/>
          <w:sz w:val="20"/>
          <w:szCs w:val="20"/>
          <w:i w:val="1"/>
          <w:iCs w:val="1"/>
          <w:color w:val="auto"/>
        </w:rPr>
        <w:t xml:space="preserve"> </w:t>
      </w:r>
      <w:r>
        <w:rPr>
          <w:rFonts w:ascii="Arial" w:cs="Arial" w:eastAsia="Arial" w:hAnsi="Arial"/>
          <w:sz w:val="20"/>
          <w:szCs w:val="20"/>
          <w:color w:val="auto"/>
        </w:rPr>
        <w:t>Confidentiality &amp; Restrictive Covenant Agreement with the Company (the “</w:t>
      </w:r>
      <w:r>
        <w:rPr>
          <w:rFonts w:ascii="Arial" w:cs="Arial" w:eastAsia="Arial" w:hAnsi="Arial"/>
          <w:sz w:val="20"/>
          <w:szCs w:val="20"/>
          <w:b w:val="1"/>
          <w:bCs w:val="1"/>
          <w:u w:val="single" w:color="auto"/>
          <w:color w:val="auto"/>
        </w:rPr>
        <w:t>Confidentiality Agreement</w:t>
      </w:r>
      <w:r>
        <w:rPr>
          <w:rFonts w:ascii="Arial" w:cs="Arial" w:eastAsia="Arial" w:hAnsi="Arial"/>
          <w:sz w:val="20"/>
          <w:szCs w:val="20"/>
          <w:color w:val="auto"/>
        </w:rPr>
        <w:t>”), which is attached as Exhibit C. Employee agrees that Employee is bound by the provisions of the Confidentiality Agreement and will continue, after the Termination Date, to abide by the terms of the Confidentiality Agreement.</w:t>
      </w:r>
    </w:p>
    <w:p>
      <w:pPr>
        <w:spacing w:after="0" w:line="155" w:lineRule="exact"/>
        <w:rPr>
          <w:rFonts w:ascii="Arial" w:cs="Arial" w:eastAsia="Arial" w:hAnsi="Arial"/>
          <w:sz w:val="20"/>
          <w:szCs w:val="20"/>
          <w:color w:val="auto"/>
        </w:rPr>
      </w:pPr>
    </w:p>
    <w:p>
      <w:pPr>
        <w:ind w:firstLine="1304"/>
        <w:spacing w:after="0" w:line="269" w:lineRule="auto"/>
        <w:tabs>
          <w:tab w:leader="none" w:pos="1683" w:val="left"/>
        </w:tabs>
        <w:numPr>
          <w:ilvl w:val="1"/>
          <w:numId w:val="49"/>
        </w:numPr>
        <w:rPr>
          <w:rFonts w:ascii="Arial" w:cs="Arial" w:eastAsia="Arial" w:hAnsi="Arial"/>
          <w:sz w:val="18"/>
          <w:szCs w:val="18"/>
          <w:color w:val="auto"/>
        </w:rPr>
      </w:pPr>
      <w:r>
        <w:rPr>
          <w:rFonts w:ascii="Arial" w:cs="Arial" w:eastAsia="Arial" w:hAnsi="Arial"/>
          <w:sz w:val="18"/>
          <w:szCs w:val="18"/>
          <w:i w:val="1"/>
          <w:iCs w:val="1"/>
          <w:color w:val="auto"/>
        </w:rPr>
        <w:t>Non-disparagement</w:t>
      </w:r>
      <w:r>
        <w:rPr>
          <w:rFonts w:ascii="Arial" w:cs="Arial" w:eastAsia="Arial" w:hAnsi="Arial"/>
          <w:sz w:val="18"/>
          <w:szCs w:val="18"/>
          <w:color w:val="auto"/>
        </w:rPr>
        <w:t>. Employee agrees that Employee will not disparage Company or make or solicit any comments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media or others that may be considered derogatory or detrimental to the good business name or reputation of Company.</w:t>
      </w:r>
    </w:p>
    <w:p>
      <w:pPr>
        <w:spacing w:after="0" w:line="130" w:lineRule="exact"/>
        <w:rPr>
          <w:rFonts w:ascii="Arial" w:cs="Arial" w:eastAsia="Arial" w:hAnsi="Arial"/>
          <w:sz w:val="18"/>
          <w:szCs w:val="18"/>
          <w:color w:val="auto"/>
        </w:rPr>
      </w:pPr>
    </w:p>
    <w:p>
      <w:pPr>
        <w:jc w:val="both"/>
        <w:ind w:firstLine="1304"/>
        <w:spacing w:after="0" w:line="213" w:lineRule="auto"/>
        <w:tabs>
          <w:tab w:leader="none" w:pos="1669" w:val="left"/>
        </w:tabs>
        <w:numPr>
          <w:ilvl w:val="1"/>
          <w:numId w:val="49"/>
        </w:numPr>
        <w:rPr>
          <w:rFonts w:ascii="Arial" w:cs="Arial" w:eastAsia="Arial" w:hAnsi="Arial"/>
          <w:sz w:val="19"/>
          <w:szCs w:val="19"/>
          <w:color w:val="auto"/>
        </w:rPr>
      </w:pPr>
      <w:r>
        <w:rPr>
          <w:rFonts w:ascii="Arial" w:cs="Arial" w:eastAsia="Arial" w:hAnsi="Arial"/>
          <w:sz w:val="19"/>
          <w:szCs w:val="19"/>
          <w:i w:val="1"/>
          <w:iCs w:val="1"/>
          <w:color w:val="auto"/>
        </w:rPr>
        <w:t>Employee Availability/Cooperation</w:t>
      </w:r>
      <w:r>
        <w:rPr>
          <w:rFonts w:ascii="Arial" w:cs="Arial" w:eastAsia="Arial" w:hAnsi="Arial"/>
          <w:sz w:val="19"/>
          <w:szCs w:val="19"/>
          <w:color w:val="auto"/>
        </w:rPr>
        <w:t>. Employee agrees to be reasonably available to the Company to respond to requests</w:t>
      </w:r>
      <w:r>
        <w:rPr>
          <w:rFonts w:ascii="Arial" w:cs="Arial" w:eastAsia="Arial" w:hAnsi="Arial"/>
          <w:sz w:val="19"/>
          <w:szCs w:val="19"/>
          <w:i w:val="1"/>
          <w:iCs w:val="1"/>
          <w:color w:val="auto"/>
        </w:rPr>
        <w:t xml:space="preserve"> </w:t>
      </w:r>
      <w:r>
        <w:rPr>
          <w:rFonts w:ascii="Arial" w:cs="Arial" w:eastAsia="Arial" w:hAnsi="Arial"/>
          <w:sz w:val="19"/>
          <w:szCs w:val="19"/>
          <w:color w:val="auto"/>
        </w:rPr>
        <w:t>for information pertaining to or relating to the Company, or any predecessor and successor companies, or their respective past and present agents, officers, executives, employees, attorneys, directors, and assigns. Employee also agrees to reasonably assist and cooperate with the Company (and its outside counsel) in connection with the defense or prosecution of any claim that may be made or threatened against or by the Company, or in connection with any ongoing or future investigation or dispute or claim of any kind involving the Company, including any proceeding before any arbitral, administrative, judicial, legislative, or other body or agency, including preparing for and testifying in any proceeding to the extent such claims, investigations or proceedings relate to services performed or required to be performed by Employee, pertinent knowledge possessed by Employee, or any act or omission by Employee. Employee will perform all acts and execute and deliver any documents that may be reasonably necessary to carry out the provisions of this section. Upon presentment to the Company of appropriate documentation, the Company will pay directly or reimburse Employee for the reasonable out-of-pocket expenses incurred as a result of such cooperation.</w:t>
      </w:r>
    </w:p>
    <w:p>
      <w:pPr>
        <w:spacing w:after="0" w:line="162" w:lineRule="exact"/>
        <w:rPr>
          <w:rFonts w:ascii="Arial" w:cs="Arial" w:eastAsia="Arial" w:hAnsi="Arial"/>
          <w:sz w:val="19"/>
          <w:szCs w:val="19"/>
          <w:color w:val="auto"/>
        </w:rPr>
      </w:pPr>
    </w:p>
    <w:p>
      <w:pPr>
        <w:jc w:val="both"/>
        <w:ind w:firstLine="1304"/>
        <w:spacing w:after="0" w:line="210" w:lineRule="auto"/>
        <w:tabs>
          <w:tab w:leader="none" w:pos="1791" w:val="left"/>
        </w:tabs>
        <w:numPr>
          <w:ilvl w:val="1"/>
          <w:numId w:val="49"/>
        </w:numPr>
        <w:rPr>
          <w:rFonts w:ascii="Arial" w:cs="Arial" w:eastAsia="Arial" w:hAnsi="Arial"/>
          <w:sz w:val="20"/>
          <w:szCs w:val="20"/>
          <w:color w:val="auto"/>
        </w:rPr>
      </w:pPr>
      <w:r>
        <w:rPr>
          <w:rFonts w:ascii="Arial" w:cs="Arial" w:eastAsia="Arial" w:hAnsi="Arial"/>
          <w:sz w:val="20"/>
          <w:szCs w:val="20"/>
          <w:i w:val="1"/>
          <w:iCs w:val="1"/>
          <w:color w:val="auto"/>
        </w:rPr>
        <w:t>Resignation</w:t>
      </w:r>
      <w:r>
        <w:rPr>
          <w:rFonts w:ascii="Arial" w:cs="Arial" w:eastAsia="Arial" w:hAnsi="Arial"/>
          <w:sz w:val="20"/>
          <w:szCs w:val="20"/>
          <w:color w:val="auto"/>
        </w:rPr>
        <w:t>. Employee agrees that, upon the Termination Date, Employee resigns from all offices, directorships,</w:t>
      </w:r>
      <w:r>
        <w:rPr>
          <w:rFonts w:ascii="Arial" w:cs="Arial" w:eastAsia="Arial" w:hAnsi="Arial"/>
          <w:sz w:val="20"/>
          <w:szCs w:val="20"/>
          <w:i w:val="1"/>
          <w:iCs w:val="1"/>
          <w:color w:val="auto"/>
        </w:rPr>
        <w:t xml:space="preserve"> </w:t>
      </w:r>
      <w:r>
        <w:rPr>
          <w:rFonts w:ascii="Arial" w:cs="Arial" w:eastAsia="Arial" w:hAnsi="Arial"/>
          <w:sz w:val="20"/>
          <w:szCs w:val="20"/>
          <w:color w:val="auto"/>
        </w:rPr>
        <w:t>trusteeships, committee memberships, and fiduciary capacities held with, or on behalf of, the Company, and any benefit plans of the Company. Employee will execute the resignations attached as Exhibit D contemporaneously with execution of this Release Agreement, and agrees to reasonably cooperate with the Company to execute any additional resignations that the Company may determine to be required upon its further review of applicable requirements to which it is subject.</w:t>
      </w:r>
    </w:p>
    <w:p>
      <w:pPr>
        <w:spacing w:after="0" w:line="154" w:lineRule="exact"/>
        <w:rPr>
          <w:rFonts w:ascii="Arial" w:cs="Arial" w:eastAsia="Arial" w:hAnsi="Arial"/>
          <w:sz w:val="20"/>
          <w:szCs w:val="20"/>
          <w:color w:val="auto"/>
        </w:rPr>
      </w:pPr>
    </w:p>
    <w:p>
      <w:pPr>
        <w:ind w:left="1100" w:hanging="444"/>
        <w:spacing w:after="0"/>
        <w:tabs>
          <w:tab w:leader="none" w:pos="11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Acknowledgments and Additional Terms</w:t>
      </w:r>
    </w:p>
    <w:p>
      <w:pPr>
        <w:spacing w:after="0" w:line="175" w:lineRule="exact"/>
        <w:rPr>
          <w:sz w:val="20"/>
          <w:szCs w:val="20"/>
          <w:color w:val="auto"/>
        </w:rPr>
      </w:pPr>
    </w:p>
    <w:p>
      <w:pPr>
        <w:jc w:val="both"/>
        <w:ind w:firstLine="656"/>
        <w:spacing w:after="0" w:line="228" w:lineRule="auto"/>
        <w:tabs>
          <w:tab w:leader="none" w:pos="109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Consideration/Revocation Period</w:t>
      </w:r>
      <w:r>
        <w:rPr>
          <w:rFonts w:ascii="Arial" w:cs="Arial" w:eastAsia="Arial" w:hAnsi="Arial"/>
          <w:sz w:val="18"/>
          <w:szCs w:val="18"/>
          <w:color w:val="auto"/>
        </w:rPr>
        <w:t>. Employee shall have twenty-one (21) days following receipt of this Release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whether or not to sign this Release Agreement. Employee acknowledges that Employee may revoke acceptance of the terms and conditions of this Release Agreement at any time within seven (7) calendar days after the day on which Employee originally returned the signed copy of the Release Agreement to the Company. Such revocation, to be effective, must be delivered by written notice, in a manner so the notice is received on or before the seventh day by: General Counsel, H&amp;R Block, Inc., One H&amp;R Block Way, Kansas City, MO 64105. In the event Employee does not return an executed copy of this Release Agreement to the Company within the twenty-one (21) day period, or Employee revokes acceptance of the terms and conditions of this Release Agreement within the seven (7) day period following execution of this Release Agreement, Employee will not be entitled to any of the payments or benefits provided under section II(A).</w:t>
      </w:r>
    </w:p>
    <w:p>
      <w:pPr>
        <w:spacing w:after="0" w:line="154" w:lineRule="exact"/>
        <w:rPr>
          <w:rFonts w:ascii="Arial" w:cs="Arial" w:eastAsia="Arial" w:hAnsi="Arial"/>
          <w:sz w:val="18"/>
          <w:szCs w:val="18"/>
          <w:color w:val="auto"/>
        </w:rPr>
      </w:pPr>
    </w:p>
    <w:p>
      <w:pPr>
        <w:jc w:val="both"/>
        <w:ind w:firstLine="656"/>
        <w:spacing w:after="0" w:line="218" w:lineRule="auto"/>
        <w:tabs>
          <w:tab w:leader="none" w:pos="1068"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Opportunity to Consult Personal Attorney</w:t>
      </w:r>
      <w:r>
        <w:rPr>
          <w:rFonts w:ascii="Arial" w:cs="Arial" w:eastAsia="Arial" w:hAnsi="Arial"/>
          <w:sz w:val="20"/>
          <w:szCs w:val="20"/>
          <w:color w:val="auto"/>
        </w:rPr>
        <w:t>. Employee acknowledges that Company has advised Employee to seek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own legal counsel prior to signing this Release Agreement and that Employee has consulted or has had the opportunity to consult with Employee’s personal attorney prior to executing this Release Agreement.</w:t>
      </w:r>
    </w:p>
    <w:p>
      <w:pPr>
        <w:spacing w:after="0" w:line="156" w:lineRule="exact"/>
        <w:rPr>
          <w:rFonts w:ascii="Arial" w:cs="Arial" w:eastAsia="Arial" w:hAnsi="Arial"/>
          <w:sz w:val="20"/>
          <w:szCs w:val="20"/>
          <w:color w:val="auto"/>
        </w:rPr>
      </w:pPr>
    </w:p>
    <w:p>
      <w:pPr>
        <w:ind w:right="20" w:firstLine="656"/>
        <w:spacing w:after="0" w:line="229" w:lineRule="auto"/>
        <w:tabs>
          <w:tab w:leader="none" w:pos="1068"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No Admission of Liability</w:t>
      </w:r>
      <w:r>
        <w:rPr>
          <w:rFonts w:ascii="Arial" w:cs="Arial" w:eastAsia="Arial" w:hAnsi="Arial"/>
          <w:sz w:val="20"/>
          <w:szCs w:val="20"/>
          <w:color w:val="auto"/>
        </w:rPr>
        <w:t>. Employee and Company agree that nothing in this Release Agreement is an admission by either of</w:t>
      </w:r>
      <w:r>
        <w:rPr>
          <w:rFonts w:ascii="Arial" w:cs="Arial" w:eastAsia="Arial" w:hAnsi="Arial"/>
          <w:sz w:val="20"/>
          <w:szCs w:val="20"/>
          <w:i w:val="1"/>
          <w:iCs w:val="1"/>
          <w:color w:val="auto"/>
        </w:rPr>
        <w:t xml:space="preserve"> </w:t>
      </w:r>
      <w:r>
        <w:rPr>
          <w:rFonts w:ascii="Arial" w:cs="Arial" w:eastAsia="Arial" w:hAnsi="Arial"/>
          <w:sz w:val="20"/>
          <w:szCs w:val="20"/>
          <w:color w:val="auto"/>
        </w:rPr>
        <w:t>any wrongdoing, and that nothing in this Release Agreement is to be construed as such by anyone.</w:t>
      </w:r>
    </w:p>
    <w:p>
      <w:pPr>
        <w:spacing w:after="0" w:line="155" w:lineRule="exact"/>
        <w:rPr>
          <w:rFonts w:ascii="Arial" w:cs="Arial" w:eastAsia="Arial" w:hAnsi="Arial"/>
          <w:sz w:val="20"/>
          <w:szCs w:val="20"/>
          <w:color w:val="auto"/>
        </w:rPr>
      </w:pPr>
    </w:p>
    <w:p>
      <w:pPr>
        <w:ind w:firstLine="656"/>
        <w:spacing w:after="0" w:line="229" w:lineRule="auto"/>
        <w:tabs>
          <w:tab w:leader="none" w:pos="1092" w:val="left"/>
        </w:tabs>
        <w:numPr>
          <w:ilvl w:val="0"/>
          <w:numId w:val="51"/>
        </w:numPr>
        <w:rPr>
          <w:rFonts w:ascii="Arial" w:cs="Arial" w:eastAsia="Arial" w:hAnsi="Arial"/>
          <w:sz w:val="20"/>
          <w:szCs w:val="20"/>
          <w:color w:val="auto"/>
        </w:rPr>
      </w:pPr>
      <w:r>
        <w:rPr>
          <w:rFonts w:ascii="Arial" w:cs="Arial" w:eastAsia="Arial" w:hAnsi="Arial"/>
          <w:sz w:val="20"/>
          <w:szCs w:val="20"/>
          <w:i w:val="1"/>
          <w:iCs w:val="1"/>
          <w:color w:val="auto"/>
        </w:rPr>
        <w:t>Consideration</w:t>
      </w:r>
      <w:r>
        <w:rPr>
          <w:rFonts w:ascii="Arial" w:cs="Arial" w:eastAsia="Arial" w:hAnsi="Arial"/>
          <w:sz w:val="20"/>
          <w:szCs w:val="20"/>
          <w:color w:val="auto"/>
        </w:rPr>
        <w:t>. Employee agrees that provision of the payments and benefits set forth in section II(A) and the Plan constitute</w:t>
      </w:r>
      <w:r>
        <w:rPr>
          <w:rFonts w:ascii="Arial" w:cs="Arial" w:eastAsia="Arial" w:hAnsi="Arial"/>
          <w:sz w:val="20"/>
          <w:szCs w:val="20"/>
          <w:i w:val="1"/>
          <w:iCs w:val="1"/>
          <w:color w:val="auto"/>
        </w:rPr>
        <w:t xml:space="preserve"> </w:t>
      </w:r>
      <w:r>
        <w:rPr>
          <w:rFonts w:ascii="Arial" w:cs="Arial" w:eastAsia="Arial" w:hAnsi="Arial"/>
          <w:sz w:val="20"/>
          <w:szCs w:val="20"/>
          <w:color w:val="auto"/>
        </w:rPr>
        <w:t>payments and benefits to which Employee is not otherwise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3</w:t>
      </w:r>
    </w:p>
    <w:p>
      <w:pPr>
        <w:sectPr>
          <w:pgSz w:w="11900" w:h="16838" w:orient="portrait"/>
          <w:cols w:equalWidth="0" w:num="1">
            <w:col w:w="11240"/>
          </w:cols>
          <w:pgMar w:left="320" w:top="1440" w:right="339" w:bottom="1440" w:gutter="0" w:footer="0" w:header="0"/>
        </w:sectPr>
      </w:pPr>
    </w:p>
    <w:bookmarkStart w:id="47" w:name="page48"/>
    <w:bookmarkEnd w:id="47"/>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and constitutes valuable consideration for the promises and representations made by Employee in this Release Agreement.</w:t>
      </w:r>
    </w:p>
    <w:p>
      <w:pPr>
        <w:spacing w:after="0" w:line="175" w:lineRule="exact"/>
        <w:rPr>
          <w:sz w:val="20"/>
          <w:szCs w:val="20"/>
          <w:color w:val="auto"/>
        </w:rPr>
      </w:pPr>
    </w:p>
    <w:p>
      <w:pPr>
        <w:ind w:firstLine="656"/>
        <w:spacing w:after="0" w:line="229" w:lineRule="auto"/>
        <w:tabs>
          <w:tab w:leader="none" w:pos="1043"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Choice of Law</w:t>
      </w:r>
      <w:r>
        <w:rPr>
          <w:rFonts w:ascii="Arial" w:cs="Arial" w:eastAsia="Arial" w:hAnsi="Arial"/>
          <w:sz w:val="20"/>
          <w:szCs w:val="20"/>
          <w:color w:val="auto"/>
        </w:rPr>
        <w:t>. All disputes which arise out of the interpretation and enforcement of this Release Agreement shall be governed</w:t>
      </w:r>
      <w:r>
        <w:rPr>
          <w:rFonts w:ascii="Arial" w:cs="Arial" w:eastAsia="Arial" w:hAnsi="Arial"/>
          <w:sz w:val="20"/>
          <w:szCs w:val="20"/>
          <w:i w:val="1"/>
          <w:iCs w:val="1"/>
          <w:color w:val="auto"/>
        </w:rPr>
        <w:t xml:space="preserve"> </w:t>
      </w:r>
      <w:r>
        <w:rPr>
          <w:rFonts w:ascii="Arial" w:cs="Arial" w:eastAsia="Arial" w:hAnsi="Arial"/>
          <w:sz w:val="20"/>
          <w:szCs w:val="20"/>
          <w:color w:val="auto"/>
        </w:rPr>
        <w:t>by the laws of the State of Missouri without giving effect to its choice of law provisions.</w:t>
      </w:r>
    </w:p>
    <w:p>
      <w:pPr>
        <w:spacing w:after="0" w:line="155" w:lineRule="exact"/>
        <w:rPr>
          <w:rFonts w:ascii="Arial" w:cs="Arial" w:eastAsia="Arial" w:hAnsi="Arial"/>
          <w:sz w:val="20"/>
          <w:szCs w:val="20"/>
          <w:color w:val="auto"/>
        </w:rPr>
      </w:pPr>
    </w:p>
    <w:p>
      <w:pPr>
        <w:jc w:val="both"/>
        <w:ind w:firstLine="656"/>
        <w:spacing w:after="0" w:line="224" w:lineRule="auto"/>
        <w:tabs>
          <w:tab w:leader="none" w:pos="1057"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This Release Agreement, including Exhibits B through D attached hereto, constitutes the entire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between the parties related to the subject matters set forth in this Release Agreement. The parties acknowledge the terms of the Plan can be terminated or changed according to the terms set forth in the Plan. The parties acknowledge the terms of this Release Agreement can only be changed by a written amendment to the Release Agreement signed by both parties.</w:t>
      </w:r>
    </w:p>
    <w:p>
      <w:pPr>
        <w:spacing w:after="0" w:line="156" w:lineRule="exact"/>
        <w:rPr>
          <w:rFonts w:ascii="Arial" w:cs="Arial" w:eastAsia="Arial" w:hAnsi="Arial"/>
          <w:sz w:val="19"/>
          <w:szCs w:val="19"/>
          <w:color w:val="auto"/>
        </w:rPr>
      </w:pPr>
    </w:p>
    <w:p>
      <w:pPr>
        <w:ind w:right="20" w:firstLine="656"/>
        <w:spacing w:after="0" w:line="229" w:lineRule="auto"/>
        <w:tabs>
          <w:tab w:leader="none" w:pos="1187"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No Reliance</w:t>
      </w:r>
      <w:r>
        <w:rPr>
          <w:rFonts w:ascii="Arial" w:cs="Arial" w:eastAsia="Arial" w:hAnsi="Arial"/>
          <w:sz w:val="20"/>
          <w:szCs w:val="20"/>
          <w:color w:val="auto"/>
        </w:rPr>
        <w:t>. The parties have not relied on any representations, promises, or agreements of any kind made to them in</w:t>
      </w:r>
      <w:r>
        <w:rPr>
          <w:rFonts w:ascii="Arial" w:cs="Arial" w:eastAsia="Arial" w:hAnsi="Arial"/>
          <w:sz w:val="20"/>
          <w:szCs w:val="20"/>
          <w:i w:val="1"/>
          <w:iCs w:val="1"/>
          <w:color w:val="auto"/>
        </w:rPr>
        <w:t xml:space="preserve"> </w:t>
      </w:r>
      <w:r>
        <w:rPr>
          <w:rFonts w:ascii="Arial" w:cs="Arial" w:eastAsia="Arial" w:hAnsi="Arial"/>
          <w:sz w:val="20"/>
          <w:szCs w:val="20"/>
          <w:color w:val="auto"/>
        </w:rPr>
        <w:t>connection with this Release Agreement, except for those set forth in writing in this Release Agreement or in the Plan.</w:t>
      </w:r>
    </w:p>
    <w:p>
      <w:pPr>
        <w:spacing w:after="0" w:line="155" w:lineRule="exact"/>
        <w:rPr>
          <w:rFonts w:ascii="Arial" w:cs="Arial" w:eastAsia="Arial" w:hAnsi="Arial"/>
          <w:sz w:val="20"/>
          <w:szCs w:val="20"/>
          <w:color w:val="auto"/>
        </w:rPr>
      </w:pPr>
    </w:p>
    <w:p>
      <w:pPr>
        <w:ind w:firstLine="656"/>
        <w:spacing w:after="0" w:line="229" w:lineRule="auto"/>
        <w:tabs>
          <w:tab w:leader="none" w:pos="1079"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Separate Signatures</w:t>
      </w:r>
      <w:r>
        <w:rPr>
          <w:rFonts w:ascii="Arial" w:cs="Arial" w:eastAsia="Arial" w:hAnsi="Arial"/>
          <w:sz w:val="20"/>
          <w:szCs w:val="20"/>
          <w:color w:val="auto"/>
        </w:rPr>
        <w:t>. Separate copies of this Release Agreement shall constitute originals which may be signed separately but</w:t>
      </w:r>
      <w:r>
        <w:rPr>
          <w:rFonts w:ascii="Arial" w:cs="Arial" w:eastAsia="Arial" w:hAnsi="Arial"/>
          <w:sz w:val="20"/>
          <w:szCs w:val="20"/>
          <w:i w:val="1"/>
          <w:iCs w:val="1"/>
          <w:color w:val="auto"/>
        </w:rPr>
        <w:t xml:space="preserve"> </w:t>
      </w:r>
      <w:r>
        <w:rPr>
          <w:rFonts w:ascii="Arial" w:cs="Arial" w:eastAsia="Arial" w:hAnsi="Arial"/>
          <w:sz w:val="20"/>
          <w:szCs w:val="20"/>
          <w:color w:val="auto"/>
        </w:rPr>
        <w:t>which together will constitute one single agreement.</w:t>
      </w:r>
    </w:p>
    <w:p>
      <w:pPr>
        <w:spacing w:after="0" w:line="155" w:lineRule="exact"/>
        <w:rPr>
          <w:rFonts w:ascii="Arial" w:cs="Arial" w:eastAsia="Arial" w:hAnsi="Arial"/>
          <w:sz w:val="20"/>
          <w:szCs w:val="20"/>
          <w:color w:val="auto"/>
        </w:rPr>
      </w:pPr>
    </w:p>
    <w:p>
      <w:pPr>
        <w:ind w:firstLine="656"/>
        <w:spacing w:after="0" w:line="229" w:lineRule="auto"/>
        <w:tabs>
          <w:tab w:leader="none" w:pos="1096"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Effective Date</w:t>
      </w:r>
      <w:r>
        <w:rPr>
          <w:rFonts w:ascii="Arial" w:cs="Arial" w:eastAsia="Arial" w:hAnsi="Arial"/>
          <w:sz w:val="20"/>
          <w:szCs w:val="20"/>
          <w:color w:val="auto"/>
        </w:rPr>
        <w:t>. This Release Agreement becomes effective and binding on the eighth calendar day following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execution of the Release Agreement pursuant to section III(A).</w:t>
      </w:r>
    </w:p>
    <w:p>
      <w:pPr>
        <w:spacing w:after="0" w:line="155" w:lineRule="exact"/>
        <w:rPr>
          <w:rFonts w:ascii="Arial" w:cs="Arial" w:eastAsia="Arial" w:hAnsi="Arial"/>
          <w:sz w:val="20"/>
          <w:szCs w:val="20"/>
          <w:color w:val="auto"/>
        </w:rPr>
      </w:pPr>
    </w:p>
    <w:p>
      <w:pPr>
        <w:jc w:val="both"/>
        <w:ind w:firstLine="656"/>
        <w:spacing w:after="0" w:line="217" w:lineRule="auto"/>
        <w:tabs>
          <w:tab w:leader="none" w:pos="986"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If any provision of this Release Agreement, including the Plan, is held to be invalid, the remaining provisions shall</w:t>
      </w:r>
      <w:r>
        <w:rPr>
          <w:rFonts w:ascii="Arial" w:cs="Arial" w:eastAsia="Arial" w:hAnsi="Arial"/>
          <w:sz w:val="19"/>
          <w:szCs w:val="19"/>
          <w:i w:val="1"/>
          <w:iCs w:val="1"/>
          <w:color w:val="auto"/>
        </w:rPr>
        <w:t xml:space="preserve"> </w:t>
      </w:r>
      <w:r>
        <w:rPr>
          <w:rFonts w:ascii="Arial" w:cs="Arial" w:eastAsia="Arial" w:hAnsi="Arial"/>
          <w:sz w:val="19"/>
          <w:szCs w:val="19"/>
          <w:color w:val="auto"/>
        </w:rPr>
        <w:t>remain in full force and effect. In addition, if a court of competent jurisdiction determines the restrictions contained in the Confidentiality Agreement attached as Exhibit C to be invalid, illegal, or otherwise unenforceable or unreasonable in scope, the validity, legality, and enforceability of the other provisions of this Release Agreement shall not be affected thereby. Any such restriction(s) in the Confidentiality Agreement determined by a court of competent jurisdiction to be invalid, illegal, or otherwise unenforceable or unreasonable will be considered by the Company and Employee to be amended as to the scope of protection, time and geographic area in whatever manner, if any, is considered reasonable by that court and, as so amended, will be enforced.</w:t>
      </w:r>
    </w:p>
    <w:p>
      <w:pPr>
        <w:spacing w:after="0" w:line="156" w:lineRule="exact"/>
        <w:rPr>
          <w:rFonts w:ascii="Arial" w:cs="Arial" w:eastAsia="Arial" w:hAnsi="Arial"/>
          <w:sz w:val="19"/>
          <w:szCs w:val="19"/>
          <w:color w:val="auto"/>
        </w:rPr>
      </w:pPr>
    </w:p>
    <w:p>
      <w:pPr>
        <w:jc w:val="both"/>
        <w:ind w:firstLine="656"/>
        <w:spacing w:after="0" w:line="218" w:lineRule="auto"/>
        <w:tabs>
          <w:tab w:leader="none" w:pos="1133" w:val="left"/>
        </w:tabs>
        <w:numPr>
          <w:ilvl w:val="0"/>
          <w:numId w:val="52"/>
        </w:numPr>
        <w:rPr>
          <w:rFonts w:ascii="Arial" w:cs="Arial" w:eastAsia="Arial" w:hAnsi="Arial"/>
          <w:sz w:val="20"/>
          <w:szCs w:val="20"/>
          <w:color w:val="auto"/>
        </w:rPr>
      </w:pPr>
      <w:r>
        <w:rPr>
          <w:rFonts w:ascii="Arial" w:cs="Arial" w:eastAsia="Arial" w:hAnsi="Arial"/>
          <w:sz w:val="20"/>
          <w:szCs w:val="20"/>
          <w:i w:val="1"/>
          <w:iCs w:val="1"/>
          <w:color w:val="auto"/>
        </w:rPr>
        <w:t>Continuing Obligations</w:t>
      </w:r>
      <w:r>
        <w:rPr>
          <w:rFonts w:ascii="Arial" w:cs="Arial" w:eastAsia="Arial" w:hAnsi="Arial"/>
          <w:sz w:val="20"/>
          <w:szCs w:val="20"/>
          <w:color w:val="auto"/>
        </w:rPr>
        <w:t>. Any continuing obligations Employee has after separation of employment pursuant to any written</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 with Company, the Plan, or by operation of law are intended to survive this Release Agreement. The terms of this Release Agreement add to any such obligations and are not intended to otherwise modify them in any way.</w:t>
      </w:r>
    </w:p>
    <w:p>
      <w:pPr>
        <w:spacing w:after="0" w:line="156" w:lineRule="exact"/>
        <w:rPr>
          <w:rFonts w:ascii="Arial" w:cs="Arial" w:eastAsia="Arial" w:hAnsi="Arial"/>
          <w:sz w:val="20"/>
          <w:szCs w:val="20"/>
          <w:color w:val="auto"/>
        </w:rPr>
      </w:pPr>
    </w:p>
    <w:p>
      <w:pPr>
        <w:jc w:val="both"/>
        <w:ind w:firstLine="656"/>
        <w:spacing w:after="0" w:line="263" w:lineRule="auto"/>
        <w:tabs>
          <w:tab w:leader="none" w:pos="1138"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Compensation, Injuries, Leave, Ethics</w:t>
      </w:r>
      <w:r>
        <w:rPr>
          <w:rFonts w:ascii="Arial" w:cs="Arial" w:eastAsia="Arial" w:hAnsi="Arial"/>
          <w:sz w:val="16"/>
          <w:szCs w:val="16"/>
          <w:color w:val="auto"/>
        </w:rPr>
        <w:t>. Employee acknowledges that: (1) upon receipt of a final paycheck, Employee has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all compensation due through the Termination Date as a result of services performed for Company, except as otherwise provided in this Release Agreement; (2) Employee has reported to Company any and all work-related injuries incurred during employment; (3) Company properly provided any requested leave of absence because of Employee’s or a family member’s health condition and Employee has not been subjected to any improper treatment, conduct or actions due to a request for or taking such leave; and (4) Employee has provided the Company with written notice of any and all concerns regarding suspected ethical and compliance issues or violations on the part of Company.</w:t>
      </w:r>
    </w:p>
    <w:p>
      <w:pPr>
        <w:spacing w:after="0" w:line="140" w:lineRule="exact"/>
        <w:rPr>
          <w:rFonts w:ascii="Arial" w:cs="Arial" w:eastAsia="Arial" w:hAnsi="Arial"/>
          <w:sz w:val="16"/>
          <w:szCs w:val="16"/>
          <w:color w:val="auto"/>
        </w:rPr>
      </w:pPr>
    </w:p>
    <w:p>
      <w:pPr>
        <w:jc w:val="both"/>
        <w:ind w:firstLine="656"/>
        <w:spacing w:after="0" w:line="224" w:lineRule="auto"/>
        <w:tabs>
          <w:tab w:leader="none" w:pos="1166" w:val="left"/>
        </w:tabs>
        <w:numPr>
          <w:ilvl w:val="0"/>
          <w:numId w:val="52"/>
        </w:numPr>
        <w:rPr>
          <w:rFonts w:ascii="Arial" w:cs="Arial" w:eastAsia="Arial" w:hAnsi="Arial"/>
          <w:sz w:val="19"/>
          <w:szCs w:val="19"/>
          <w:color w:val="auto"/>
        </w:rPr>
      </w:pPr>
      <w:r>
        <w:rPr>
          <w:rFonts w:ascii="Arial" w:cs="Arial" w:eastAsia="Arial" w:hAnsi="Arial"/>
          <w:sz w:val="19"/>
          <w:szCs w:val="19"/>
          <w:i w:val="1"/>
          <w:iCs w:val="1"/>
          <w:color w:val="auto"/>
        </w:rPr>
        <w:t>409A Representations</w:t>
      </w:r>
      <w:r>
        <w:rPr>
          <w:rFonts w:ascii="Arial" w:cs="Arial" w:eastAsia="Arial" w:hAnsi="Arial"/>
          <w:sz w:val="19"/>
          <w:szCs w:val="19"/>
          <w:color w:val="auto"/>
        </w:rPr>
        <w:t>. Company has made a good faith effort to comply with current guidance under Section 409A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Internal Revenue Code. Notwithstanding the foregoing or any provision in this Release Agreement to the contrary, Company does not warrant or promise compliance with Section 409A, and Employee understands and agrees that Employee shall not have any claim against Company with respect to Section 409A or for any good faith effort taken to comply with Section 409A.</w:t>
      </w:r>
    </w:p>
    <w:p>
      <w:pPr>
        <w:spacing w:after="0" w:line="15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20"/>
          <w:szCs w:val="20"/>
          <w:u w:val="single" w:color="auto"/>
          <w:color w:val="auto"/>
        </w:rPr>
        <w:t>Release</w:t>
      </w:r>
    </w:p>
    <w:p>
      <w:pPr>
        <w:spacing w:after="0" w:line="175" w:lineRule="exact"/>
        <w:rPr>
          <w:sz w:val="20"/>
          <w:szCs w:val="20"/>
          <w:color w:val="auto"/>
        </w:rPr>
      </w:pPr>
    </w:p>
    <w:p>
      <w:pPr>
        <w:ind w:firstLine="656"/>
        <w:spacing w:after="0" w:line="229" w:lineRule="auto"/>
        <w:tabs>
          <w:tab w:leader="none" w:pos="1081"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 consideration of the recitations and agreements listed above, Employee releases, and forever discharges Company and each and every one of its component, predecessor, and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4</w:t>
      </w:r>
    </w:p>
    <w:p>
      <w:pPr>
        <w:sectPr>
          <w:pgSz w:w="11900" w:h="16838" w:orient="portrait"/>
          <w:cols w:equalWidth="0" w:num="1">
            <w:col w:w="11240"/>
          </w:cols>
          <w:pgMar w:left="320" w:top="1440" w:right="339" w:bottom="1440" w:gutter="0" w:footer="0" w:header="0"/>
        </w:sectPr>
      </w:pPr>
    </w:p>
    <w:bookmarkStart w:id="48" w:name="page49"/>
    <w:bookmarkEnd w:id="48"/>
    <w:p>
      <w:pPr>
        <w:spacing w:after="0" w:line="54" w:lineRule="exact"/>
        <w:rPr>
          <w:sz w:val="20"/>
          <w:szCs w:val="20"/>
          <w:color w:val="auto"/>
        </w:rPr>
      </w:pPr>
    </w:p>
    <w:p>
      <w:pPr>
        <w:jc w:val="both"/>
        <w:spacing w:after="0" w:line="226" w:lineRule="auto"/>
        <w:rPr>
          <w:sz w:val="20"/>
          <w:szCs w:val="20"/>
          <w:color w:val="auto"/>
        </w:rPr>
      </w:pPr>
      <w:r>
        <w:rPr>
          <w:rFonts w:ascii="Arial" w:cs="Arial" w:eastAsia="Arial" w:hAnsi="Arial"/>
          <w:sz w:val="19"/>
          <w:szCs w:val="19"/>
          <w:color w:val="auto"/>
        </w:rPr>
        <w:t>companies, and their respective past and present agents, officers, executives, employees, attorneys, and directors (collectively the “</w:t>
      </w:r>
      <w:r>
        <w:rPr>
          <w:rFonts w:ascii="Arial" w:cs="Arial" w:eastAsia="Arial" w:hAnsi="Arial"/>
          <w:sz w:val="19"/>
          <w:szCs w:val="19"/>
          <w:b w:val="1"/>
          <w:bCs w:val="1"/>
          <w:u w:val="single" w:color="auto"/>
          <w:color w:val="auto"/>
        </w:rPr>
        <w:t>Released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Parties</w:t>
      </w:r>
      <w:r>
        <w:rPr>
          <w:rFonts w:ascii="Arial" w:cs="Arial" w:eastAsia="Arial" w:hAnsi="Arial"/>
          <w:sz w:val="19"/>
          <w:szCs w:val="19"/>
          <w:color w:val="auto"/>
        </w:rPr>
        <w:t>”), from any and all matters, claims, charges, demands, damages, causes of action, debts, liabilities, controversies, claims for</w:t>
      </w:r>
      <w:r>
        <w:rPr>
          <w:rFonts w:ascii="Arial" w:cs="Arial" w:eastAsia="Arial" w:hAnsi="Arial"/>
          <w:sz w:val="19"/>
          <w:szCs w:val="19"/>
          <w:b w:val="1"/>
          <w:bCs w:val="1"/>
          <w:color w:val="auto"/>
        </w:rPr>
        <w:t xml:space="preserve"> </w:t>
      </w:r>
      <w:r>
        <w:rPr>
          <w:rFonts w:ascii="Arial" w:cs="Arial" w:eastAsia="Arial" w:hAnsi="Arial"/>
          <w:sz w:val="19"/>
          <w:szCs w:val="19"/>
          <w:color w:val="auto"/>
        </w:rPr>
        <w:t>attorneys’ fees, judgments, and suits of every kind and nature whatsoever, foreseen or unforeseen, known or unknown, which have arisen between Employee and the Released Parties up to the date Employee signs this Release Agreement.</w:t>
      </w:r>
    </w:p>
    <w:p>
      <w:pPr>
        <w:spacing w:after="0" w:line="155" w:lineRule="exact"/>
        <w:rPr>
          <w:sz w:val="20"/>
          <w:szCs w:val="20"/>
          <w:color w:val="auto"/>
        </w:rPr>
      </w:pPr>
    </w:p>
    <w:p>
      <w:pPr>
        <w:jc w:val="both"/>
        <w:ind w:firstLine="656"/>
        <w:spacing w:after="0" w:line="225" w:lineRule="auto"/>
        <w:tabs>
          <w:tab w:leader="none" w:pos="106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This release of claims includes, but is not limited to: (1) any claims Employee may have relating to any aspect of Employee’s employment with the Released Parties and/or the separation of that employment; (2) any breach of an actual or implied contract of employment between Employee and the Released Parties; (3) any claim of unjust or tortious discharge; (4) any common law claim (including but not limited to fraud, negligence, intentional or negligent infliction of emotional distress, negligent hiring/retention/supervision, or defamation); (5) any claims arising under (i) the Civil Rights Act of 1866, 42 U.S.C. § 1981, (ii) the Civil Rights Act of 1964, 42 U.S.C. §§ 2000e, et seq., as amended by the Civil Rights Act of 1991, (iii) the Age Discrimination in Employment Act (the “</w:t>
      </w:r>
      <w:r>
        <w:rPr>
          <w:rFonts w:ascii="Arial" w:cs="Arial" w:eastAsia="Arial" w:hAnsi="Arial"/>
          <w:sz w:val="18"/>
          <w:szCs w:val="18"/>
          <w:b w:val="1"/>
          <w:bCs w:val="1"/>
          <w:u w:val="single" w:color="auto"/>
          <w:color w:val="auto"/>
        </w:rPr>
        <w:t>ADEA</w:t>
      </w:r>
      <w:r>
        <w:rPr>
          <w:rFonts w:ascii="Arial" w:cs="Arial" w:eastAsia="Arial" w:hAnsi="Arial"/>
          <w:sz w:val="18"/>
          <w:szCs w:val="18"/>
          <w:color w:val="auto"/>
        </w:rPr>
        <w:t>”), 29 U.S.C. §§ 621, et seq. (including but not limited to the Older Worker Benefit Protection Act (the “</w:t>
      </w:r>
      <w:r>
        <w:rPr>
          <w:rFonts w:ascii="Arial" w:cs="Arial" w:eastAsia="Arial" w:hAnsi="Arial"/>
          <w:sz w:val="18"/>
          <w:szCs w:val="18"/>
          <w:b w:val="1"/>
          <w:bCs w:val="1"/>
          <w:u w:val="single" w:color="auto"/>
          <w:color w:val="auto"/>
        </w:rPr>
        <w:t>OWBPA</w:t>
      </w:r>
      <w:r>
        <w:rPr>
          <w:rFonts w:ascii="Arial" w:cs="Arial" w:eastAsia="Arial" w:hAnsi="Arial"/>
          <w:sz w:val="18"/>
          <w:szCs w:val="18"/>
          <w:color w:val="auto"/>
        </w:rPr>
        <w:t>”)), (iv) the Employee Retirement Income Security Act ("</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29 U.S.C. §§ 1001, et seq., (v) the Rehabilitation Act of 1973, 29 U.S.C. §§ 701, et seq., (vi) the American with Disabilities Act, 42 U.S.C. §§ 12101, et seq., (vii) the Occupational Safety and Health Act, 29 U.S.C. §§ 651, et. seq., and (viii) the Worker Adjustment and Retraining Notification Act, 29 U.S.C. §§ 2101, et seq.; (6) any applicable state or local employment discrimination statute or ordinance; and (7) any other federal, state, or local statutes or ordinances.</w:t>
      </w:r>
    </w:p>
    <w:p>
      <w:pPr>
        <w:spacing w:after="0" w:line="160" w:lineRule="exact"/>
        <w:rPr>
          <w:rFonts w:ascii="Arial" w:cs="Arial" w:eastAsia="Arial" w:hAnsi="Arial"/>
          <w:sz w:val="18"/>
          <w:szCs w:val="18"/>
          <w:color w:val="auto"/>
        </w:rPr>
      </w:pPr>
    </w:p>
    <w:p>
      <w:pPr>
        <w:ind w:firstLine="656"/>
        <w:spacing w:after="0" w:line="229" w:lineRule="auto"/>
        <w:tabs>
          <w:tab w:leader="none" w:pos="1135" w:val="left"/>
        </w:tabs>
        <w:numPr>
          <w:ilvl w:val="0"/>
          <w:numId w:val="54"/>
        </w:numPr>
        <w:rPr>
          <w:rFonts w:ascii="Arial" w:cs="Arial" w:eastAsia="Arial" w:hAnsi="Arial"/>
          <w:sz w:val="20"/>
          <w:szCs w:val="20"/>
          <w:color w:val="auto"/>
        </w:rPr>
      </w:pPr>
      <w:r>
        <w:rPr>
          <w:rFonts w:ascii="Arial" w:cs="Arial" w:eastAsia="Arial" w:hAnsi="Arial"/>
          <w:sz w:val="20"/>
          <w:szCs w:val="20"/>
          <w:color w:val="auto"/>
        </w:rPr>
        <w:t>Employee represents and warrants that, as of the date Employee signs this Release Agreement, Employee has not filed or commenced any suit, claim, charge, complaint, or other legal proceeding of any kind against the Released Parties.</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059" w:val="left"/>
        </w:tabs>
        <w:numPr>
          <w:ilvl w:val="0"/>
          <w:numId w:val="54"/>
        </w:numPr>
        <w:rPr>
          <w:rFonts w:ascii="Arial" w:cs="Arial" w:eastAsia="Arial" w:hAnsi="Arial"/>
          <w:sz w:val="20"/>
          <w:szCs w:val="20"/>
          <w:color w:val="auto"/>
        </w:rPr>
      </w:pPr>
      <w:r>
        <w:rPr>
          <w:rFonts w:ascii="Arial" w:cs="Arial" w:eastAsia="Arial" w:hAnsi="Arial"/>
          <w:sz w:val="20"/>
          <w:szCs w:val="20"/>
          <w:color w:val="auto"/>
        </w:rPr>
        <w:t>The above release does not waive claims: (1) for unemployment or workers’ compensation; (2) for vested rights under ERISA-covered employee benefit plans as applicable on the date Employee signs this Release Agreement; (3) that may arise after Employee signs this Release Agreement; or (4) which cannot be released by private agreement.</w:t>
      </w:r>
    </w:p>
    <w:p>
      <w:pPr>
        <w:spacing w:after="0" w:line="156" w:lineRule="exact"/>
        <w:rPr>
          <w:rFonts w:ascii="Arial" w:cs="Arial" w:eastAsia="Arial" w:hAnsi="Arial"/>
          <w:sz w:val="20"/>
          <w:szCs w:val="20"/>
          <w:color w:val="auto"/>
        </w:rPr>
      </w:pPr>
    </w:p>
    <w:p>
      <w:pPr>
        <w:jc w:val="both"/>
        <w:ind w:firstLine="656"/>
        <w:spacing w:after="0" w:line="213" w:lineRule="auto"/>
        <w:tabs>
          <w:tab w:leader="none" w:pos="1033" w:val="left"/>
        </w:tabs>
        <w:numPr>
          <w:ilvl w:val="0"/>
          <w:numId w:val="54"/>
        </w:numPr>
        <w:rPr>
          <w:rFonts w:ascii="Arial" w:cs="Arial" w:eastAsia="Arial" w:hAnsi="Arial"/>
          <w:sz w:val="20"/>
          <w:szCs w:val="20"/>
          <w:color w:val="auto"/>
        </w:rPr>
      </w:pPr>
      <w:r>
        <w:rPr>
          <w:rFonts w:ascii="Arial" w:cs="Arial" w:eastAsia="Arial" w:hAnsi="Arial"/>
          <w:sz w:val="20"/>
          <w:szCs w:val="20"/>
          <w:color w:val="auto"/>
        </w:rPr>
        <w:t>Employee agrees that Employee waives any right to participate in any settlement, verdict or judgment in any class, collective or multi-party action against the Released Parties arising from conduct occurring on or before the date Employee signs this Release Agreement, and that Employee waives any right to accept anything of value or any injunctive relief associated with any such pending or threatened class, collective or multi-party action against the Released Parties.</w:t>
      </w:r>
    </w:p>
    <w:p>
      <w:pPr>
        <w:spacing w:after="0" w:line="150" w:lineRule="exact"/>
        <w:rPr>
          <w:sz w:val="20"/>
          <w:szCs w:val="20"/>
          <w:color w:val="auto"/>
        </w:rPr>
      </w:pPr>
    </w:p>
    <w:p>
      <w:pPr>
        <w:ind w:left="1020" w:hanging="364"/>
        <w:spacing w:after="0"/>
        <w:tabs>
          <w:tab w:leader="none" w:pos="102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Interference with Rights</w:t>
      </w:r>
    </w:p>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8"/>
          <w:szCs w:val="18"/>
          <w:b w:val="1"/>
          <w:bCs w:val="1"/>
          <w:color w:val="auto"/>
        </w:rPr>
        <w:t>Nothing in this Release Agreement or any Confidentiality &amp; Restrictive Covenant Agreement, including but not limited to, the release of claims, confidential information, return of property, non-solicitation of employees, non-solicitation of customers, non-competition, non-disparagement, availability/cooperation, agreement to arbitrate and acknowledgement provisions, (1) limits or affects Employee’s right to challenge the validity of this Release Agreement under the ADEA or the OWBPA; (2) prevents Employee from filing a charge or complaint with, or from participating in an investigation or proceeding conducted by, the Equal Employment Opportunity Commission, National Labor Relations Board, the Securities and Exchange Commission, or any other federal, state or local agency charged with the enforcement of any laws, including providing documents or other information; or (3) prevents Employee from exercising rights under Section 7 of the National Labor Relations Act to engage in joint activity with other employees, although by signing this release Employee is waiving rights to individual relief (including backpay, frontpay,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reinstatement or other legal or equitable relief) in any charge, complaint, lawsuit, or other proceeding brought by Employee or on</w:t>
      </w:r>
    </w:p>
    <w:p>
      <w:pPr>
        <w:jc w:val="both"/>
        <w:spacing w:after="0" w:line="206" w:lineRule="auto"/>
        <w:rPr>
          <w:sz w:val="20"/>
          <w:szCs w:val="20"/>
          <w:color w:val="auto"/>
        </w:rPr>
      </w:pPr>
      <w:r>
        <w:rPr>
          <w:rFonts w:ascii="Arial" w:cs="Arial" w:eastAsia="Arial" w:hAnsi="Arial"/>
          <w:sz w:val="20"/>
          <w:szCs w:val="20"/>
          <w:b w:val="1"/>
          <w:bCs w:val="1"/>
          <w:color w:val="auto"/>
        </w:rPr>
        <w:t>Employee’s behalf by any third-party, except for any right Employee may have to receive a payment from a government agency (and not the Company) for information provided to the government agency or where otherwise prohibited. Notwithstanding Employee’s confidentiality and non-disclosure obligations in this Release Agreement and otherwise, Employee understands that as provided by the Federal Defend Trade Secrets Act, Employee will not be held criminally or civilly liable under any federal or state trade secret law for the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54" w:lineRule="exact"/>
        <w:rPr>
          <w:sz w:val="20"/>
          <w:szCs w:val="20"/>
          <w:color w:val="auto"/>
        </w:rPr>
      </w:pPr>
    </w:p>
    <w:p>
      <w:pPr>
        <w:jc w:val="both"/>
        <w:spacing w:after="0" w:line="220" w:lineRule="auto"/>
        <w:rPr>
          <w:sz w:val="20"/>
          <w:szCs w:val="20"/>
          <w:color w:val="auto"/>
        </w:rPr>
      </w:pPr>
      <w:r>
        <w:rPr>
          <w:rFonts w:ascii="Arial" w:cs="Arial" w:eastAsia="Arial" w:hAnsi="Arial"/>
          <w:sz w:val="20"/>
          <w:szCs w:val="20"/>
          <w:b w:val="1"/>
          <w:bCs w:val="1"/>
          <w:color w:val="auto"/>
        </w:rPr>
        <w:t>of a trade secret made: (i) in confidence to a federal, state, or local government official, either directly or indirectly, or to an attorney, and solely for the purpose of reporting or investigating a suspected violation of law; or (ii) in a complaint or other document filed in a lawsuit or other proceeding, if such filing is made under seal.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THIS IS A RELEASE OF CLAIMS - READ CAREFULLY BEFORE SIGNING</w:t>
      </w:r>
    </w:p>
    <w:p>
      <w:pPr>
        <w:spacing w:after="0" w:line="181" w:lineRule="exact"/>
        <w:rPr>
          <w:sz w:val="20"/>
          <w:szCs w:val="20"/>
          <w:color w:val="auto"/>
        </w:rPr>
      </w:pPr>
    </w:p>
    <w:p>
      <w:pPr>
        <w:jc w:val="both"/>
        <w:ind w:firstLine="648"/>
        <w:spacing w:after="0" w:line="213" w:lineRule="auto"/>
        <w:rPr>
          <w:sz w:val="20"/>
          <w:szCs w:val="20"/>
          <w:color w:val="auto"/>
        </w:rPr>
      </w:pPr>
      <w:r>
        <w:rPr>
          <w:rFonts w:ascii="Arial" w:cs="Arial" w:eastAsia="Arial" w:hAnsi="Arial"/>
          <w:sz w:val="20"/>
          <w:szCs w:val="20"/>
          <w:color w:val="auto"/>
        </w:rPr>
        <w:t>I have read this Severance and Release Agreement. Company advised me to seek the advice of counsel regarding the meaning and effect of this Release Agreement, and I have had the opportunity to do so. I fully understand the terms of this Release Agreement and I understand it is a complete and final release of any of my claims against the Released Parties (as defined in this Release Agreement). I sign this Release Agreement as my own free act and deed.</w:t>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[EMPLOYEE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374015</wp:posOffset>
            </wp:positionV>
            <wp:extent cx="753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53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-14605</wp:posOffset>
            </wp:positionV>
            <wp:extent cx="7537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352"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[EMPLOYING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374015</wp:posOffset>
            </wp:positionV>
            <wp:extent cx="7537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Title:</w:t>
      </w:r>
    </w:p>
    <w:p>
      <w:pPr>
        <w:spacing w:after="0" w:line="40" w:lineRule="exact"/>
        <w:rPr>
          <w:sz w:val="20"/>
          <w:szCs w:val="20"/>
          <w:color w:val="auto"/>
        </w:rPr>
      </w:pPr>
    </w:p>
    <w:p>
      <w:pPr>
        <w:ind w:left="100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-14605</wp:posOffset>
            </wp:positionV>
            <wp:extent cx="6280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628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 Page 6</w:t>
      </w:r>
    </w:p>
    <w:p>
      <w:pPr>
        <w:sectPr>
          <w:pgSz w:w="11900" w:h="16838" w:orient="portrait"/>
          <w:cols w:equalWidth="0" w:num="1">
            <w:col w:w="11240"/>
          </w:cols>
          <w:pgMar w:left="320" w:top="1440" w:right="339" w:bottom="1440" w:gutter="0" w:footer="0" w:header="0"/>
        </w:sectPr>
      </w:pPr>
    </w:p>
    <w:bookmarkStart w:id="50" w:name="page51"/>
    <w:bookmarkEnd w:id="50"/>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H&amp;R BLOCK, INC. EXECUTIVE SEVERANCE PLAN</w:t>
      </w:r>
    </w:p>
    <w:p>
      <w:pPr>
        <w:sectPr>
          <w:pgSz w:w="11900" w:h="16838" w:orient="portrait"/>
          <w:cols w:equalWidth="0" w:num="1">
            <w:col w:w="9019"/>
          </w:cols>
          <w:pgMar w:left="1440" w:top="1440" w:right="144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EQUITY AWARDS SUMMARY</w:t>
      </w:r>
    </w:p>
    <w:p>
      <w:pPr>
        <w:sectPr>
          <w:pgSz w:w="11900" w:h="16838" w:orient="portrait"/>
          <w:cols w:equalWidth="0" w:num="1">
            <w:col w:w="9019"/>
          </w:cols>
          <w:pgMar w:left="1440" w:top="1404"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C</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&amp; RESTRICTIVE COVENANT AGREEMENT</w:t>
      </w:r>
    </w:p>
    <w:p>
      <w:pPr>
        <w:sectPr>
          <w:pgSz w:w="11900" w:h="16838" w:orient="portrait"/>
          <w:cols w:equalWidth="0" w:num="1">
            <w:col w:w="9019"/>
          </w:cols>
          <w:pgMar w:left="1440" w:top="1404" w:right="1440" w:bottom="1440" w:gutter="0" w:footer="0" w:header="0"/>
        </w:sectPr>
      </w:pPr>
    </w:p>
    <w:bookmarkStart w:id="53" w:name="page54"/>
    <w:bookmarkEnd w:id="53"/>
    <w:p>
      <w:pPr>
        <w:ind w:left="5160"/>
        <w:spacing w:after="0"/>
        <w:rPr>
          <w:sz w:val="20"/>
          <w:szCs w:val="20"/>
          <w:color w:val="auto"/>
        </w:rPr>
      </w:pPr>
      <w:r>
        <w:rPr>
          <w:rFonts w:ascii="Arial" w:cs="Arial" w:eastAsia="Arial" w:hAnsi="Arial"/>
          <w:sz w:val="18"/>
          <w:szCs w:val="18"/>
          <w:b w:val="1"/>
          <w:bCs w:val="1"/>
          <w:color w:val="auto"/>
        </w:rPr>
        <w:t>EXHIBIT D</w:t>
      </w:r>
    </w:p>
    <w:p>
      <w:pPr>
        <w:spacing w:after="0" w:line="200" w:lineRule="exact"/>
        <w:rPr>
          <w:sz w:val="20"/>
          <w:szCs w:val="20"/>
          <w:color w:val="auto"/>
        </w:rPr>
      </w:pPr>
    </w:p>
    <w:p>
      <w:pPr>
        <w:spacing w:after="0" w:line="255" w:lineRule="exact"/>
        <w:rPr>
          <w:sz w:val="20"/>
          <w:szCs w:val="20"/>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RESIGNATION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 </w:t>
      </w:r>
      <w:r>
        <w:rPr>
          <w:rFonts w:ascii="Arial" w:cs="Arial" w:eastAsia="Arial" w:hAnsi="Arial"/>
          <w:sz w:val="18"/>
          <w:szCs w:val="18"/>
          <w:b w:val="1"/>
          <w:bCs w:val="1"/>
          <w:color w:val="auto"/>
        </w:rPr>
        <w:t>[INSERT DATE]</w:t>
      </w:r>
      <w:r>
        <w:rPr>
          <w:rFonts w:ascii="Arial" w:cs="Arial" w:eastAsia="Arial" w:hAnsi="Arial"/>
          <w:sz w:val="18"/>
          <w:szCs w:val="18"/>
          <w:color w:val="auto"/>
        </w:rPr>
        <w:t>, I hereby resign from the following officer and director positions:</w:t>
      </w:r>
    </w:p>
    <w:p>
      <w:pPr>
        <w:spacing w:after="0" w:line="250" w:lineRule="exact"/>
        <w:rPr>
          <w:sz w:val="20"/>
          <w:szCs w:val="20"/>
          <w:color w:val="auto"/>
        </w:rPr>
      </w:pPr>
    </w:p>
    <w:tbl>
      <w:tblPr>
        <w:tblLayout w:type="fixed"/>
        <w:tblInd w:w="90" w:type="dxa"/>
        <w:tblCellMar>
          <w:top w:w="0" w:type="dxa"/>
          <w:left w:w="0" w:type="dxa"/>
          <w:bottom w:w="0" w:type="dxa"/>
          <w:right w:w="0" w:type="dxa"/>
        </w:tblCellMar>
      </w:tblPr>
      <w:tr>
        <w:trPr>
          <w:trHeight w:val="243"/>
        </w:trPr>
        <w:tc>
          <w:tcPr>
            <w:tcW w:w="6360" w:type="dxa"/>
            <w:vAlign w:val="bottom"/>
            <w:tcBorders>
              <w:top w:val="single" w:sz="8" w:color="auto"/>
              <w:left w:val="single" w:sz="8" w:color="auto"/>
              <w:bottom w:val="single" w:sz="8" w:color="auto"/>
              <w:right w:val="single" w:sz="8" w:color="auto"/>
            </w:tcBorders>
            <w:shd w:val="clear" w:color="auto" w:fill="C0C0C0"/>
          </w:tcPr>
          <w:p>
            <w:pPr>
              <w:ind w:left="100"/>
              <w:spacing w:after="0"/>
              <w:rPr>
                <w:sz w:val="20"/>
                <w:szCs w:val="20"/>
                <w:color w:val="auto"/>
              </w:rPr>
            </w:pPr>
            <w:r>
              <w:rPr>
                <w:rFonts w:ascii="Arial" w:cs="Arial" w:eastAsia="Arial" w:hAnsi="Arial"/>
                <w:sz w:val="18"/>
                <w:szCs w:val="18"/>
                <w:b w:val="1"/>
                <w:bCs w:val="1"/>
                <w:color w:val="auto"/>
              </w:rPr>
              <w:t>Entity Name</w:t>
            </w:r>
          </w:p>
        </w:tc>
        <w:tc>
          <w:tcPr>
            <w:tcW w:w="3960" w:type="dxa"/>
            <w:vAlign w:val="bottom"/>
            <w:tcBorders>
              <w:top w:val="single" w:sz="8" w:color="auto"/>
              <w:bottom w:val="single" w:sz="8" w:color="auto"/>
              <w:right w:val="single" w:sz="8" w:color="auto"/>
            </w:tcBorders>
            <w:shd w:val="clear" w:color="auto" w:fill="C0C0C0"/>
          </w:tcPr>
          <w:p>
            <w:pPr>
              <w:ind w:left="60"/>
              <w:spacing w:after="0"/>
              <w:rPr>
                <w:sz w:val="20"/>
                <w:szCs w:val="20"/>
                <w:color w:val="auto"/>
              </w:rPr>
            </w:pPr>
            <w:r>
              <w:rPr>
                <w:rFonts w:ascii="Arial" w:cs="Arial" w:eastAsia="Arial" w:hAnsi="Arial"/>
                <w:sz w:val="18"/>
                <w:szCs w:val="18"/>
                <w:b w:val="1"/>
                <w:bCs w:val="1"/>
                <w:color w:val="auto"/>
              </w:rPr>
              <w:t>Title</w:t>
            </w: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6"/>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6"/>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6"/>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6"/>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6"/>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37"/>
        </w:trPr>
        <w:tc>
          <w:tcPr>
            <w:tcW w:w="6360" w:type="dxa"/>
            <w:vAlign w:val="bottom"/>
            <w:tcBorders>
              <w:left w:val="single" w:sz="8" w:color="auto"/>
              <w:bottom w:val="single" w:sz="8" w:color="auto"/>
              <w:right w:val="single" w:sz="8" w:color="auto"/>
            </w:tcBorders>
          </w:tcPr>
          <w:p>
            <w:pPr>
              <w:spacing w:after="0"/>
              <w:rPr>
                <w:sz w:val="20"/>
                <w:szCs w:val="20"/>
                <w:color w:val="auto"/>
              </w:rPr>
            </w:pPr>
          </w:p>
        </w:tc>
        <w:tc>
          <w:tcPr>
            <w:tcW w:w="3960" w:type="dxa"/>
            <w:vAlign w:val="bottom"/>
            <w:tcBorders>
              <w:bottom w:val="single" w:sz="8" w:color="auto"/>
              <w:right w:val="single" w:sz="8" w:color="auto"/>
            </w:tcBorders>
          </w:tcPr>
          <w:p>
            <w:pPr>
              <w:spacing w:after="0"/>
              <w:rPr>
                <w:sz w:val="20"/>
                <w:szCs w:val="20"/>
                <w:color w:val="auto"/>
              </w:rPr>
            </w:pPr>
          </w:p>
        </w:tc>
      </w:tr>
      <w:tr>
        <w:trPr>
          <w:trHeight w:val="250"/>
        </w:trPr>
        <w:tc>
          <w:tcPr>
            <w:tcW w:w="6360" w:type="dxa"/>
            <w:vAlign w:val="bottom"/>
            <w:tcBorders>
              <w:left w:val="single" w:sz="8" w:color="auto"/>
              <w:bottom w:val="single" w:sz="8" w:color="auto"/>
              <w:right w:val="single" w:sz="8" w:color="auto"/>
            </w:tcBorders>
          </w:tcPr>
          <w:p>
            <w:pPr>
              <w:spacing w:after="0"/>
              <w:rPr>
                <w:sz w:val="21"/>
                <w:szCs w:val="21"/>
                <w:color w:val="auto"/>
              </w:rPr>
            </w:pPr>
          </w:p>
        </w:tc>
        <w:tc>
          <w:tcPr>
            <w:tcW w:w="39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rPr>
          <w:sz w:val="20"/>
          <w:szCs w:val="20"/>
          <w:color w:val="auto"/>
        </w:rPr>
      </w:pPr>
      <w:r>
        <w:rPr>
          <w:rFonts w:ascii="Arial" w:cs="Arial" w:eastAsia="Arial" w:hAnsi="Arial"/>
          <w:sz w:val="18"/>
          <w:szCs w:val="18"/>
          <w:b w:val="1"/>
          <w:bCs w:val="1"/>
          <w:color w:val="auto"/>
        </w:rPr>
        <w:t>[EMPLOYEE NAME]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-10160</wp:posOffset>
            </wp:positionV>
            <wp:extent cx="6858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1">
            <w:col w:w="10400"/>
          </w:cols>
          <w:pgMar w:left="320" w:top="1404" w:right="11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52" w:lineRule="exact"/>
        <w:rPr>
          <w:sz w:val="20"/>
          <w:szCs w:val="20"/>
          <w:color w:val="auto"/>
        </w:rPr>
      </w:pPr>
    </w:p>
    <w:p>
      <w:pPr>
        <w:ind w:left="200" w:hanging="192"/>
        <w:spacing w:after="0"/>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May 10, 2022</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J. Jones II</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Jeffrey J. Jones II</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Executive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52" w:lineRule="exact"/>
        <w:rPr>
          <w:sz w:val="20"/>
          <w:szCs w:val="20"/>
          <w:color w:val="auto"/>
        </w:rPr>
      </w:pPr>
    </w:p>
    <w:p>
      <w:pPr>
        <w:ind w:left="200" w:hanging="192"/>
        <w:spacing w:after="0"/>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52"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sz w:val="20"/>
          <w:szCs w:val="20"/>
          <w:color w:val="auto"/>
        </w:rPr>
      </w:pPr>
    </w:p>
    <w:p>
      <w:pPr>
        <w:ind w:right="480" w:firstLine="8"/>
        <w:spacing w:after="0" w:line="256"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4"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sz w:val="20"/>
          <w:szCs w:val="20"/>
          <w:color w:val="auto"/>
        </w:rPr>
      </w:pPr>
    </w:p>
    <w:p>
      <w:pPr>
        <w:ind w:right="480" w:firstLine="8"/>
        <w:spacing w:after="0" w:line="256" w:lineRule="auto"/>
        <w:tabs>
          <w:tab w:leader="none" w:pos="2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sz w:val="20"/>
          <w:szCs w:val="20"/>
          <w:color w:val="auto"/>
        </w:rPr>
      </w:pPr>
    </w:p>
    <w:p>
      <w:pPr>
        <w:ind w:right="640" w:firstLine="8"/>
        <w:spacing w:after="0" w:line="261"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May 10, 2022</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Tony G. Bowen</w:t>
            </w:r>
          </w:p>
        </w:tc>
      </w:tr>
      <w:tr>
        <w:trPr>
          <w:trHeight w:val="223"/>
        </w:trPr>
        <w:tc>
          <w:tcPr>
            <w:tcW w:w="6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Tony G. Bowen</w:t>
            </w:r>
          </w:p>
        </w:tc>
      </w:tr>
      <w:tr>
        <w:trPr>
          <w:trHeight w:val="188"/>
        </w:trPr>
        <w:tc>
          <w:tcPr>
            <w:tcW w:w="676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17"/>
        </w:trPr>
        <w:tc>
          <w:tcPr>
            <w:tcW w:w="67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H&amp;R Block, Inc.</w:t>
            </w:r>
          </w:p>
        </w:tc>
      </w:tr>
    </w:tbl>
    <w:p>
      <w:pPr>
        <w:sectPr>
          <w:pgSz w:w="11900" w:h="16838" w:orient="portrait"/>
          <w:cols w:equalWidth="0" w:num="1">
            <w:col w:w="11240"/>
          </w:cols>
          <w:pgMar w:left="320" w:top="140"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36"/>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ended March 31, 2022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Jeffrey J. Jones II</w:t>
      </w:r>
    </w:p>
    <w:p>
      <w:pPr>
        <w:ind w:left="7940"/>
        <w:spacing w:after="0" w:line="203" w:lineRule="auto"/>
        <w:rPr>
          <w:sz w:val="20"/>
          <w:szCs w:val="20"/>
          <w:color w:val="auto"/>
        </w:rPr>
      </w:pPr>
      <w:r>
        <w:rPr>
          <w:rFonts w:ascii="Arial" w:cs="Arial" w:eastAsia="Arial" w:hAnsi="Arial"/>
          <w:sz w:val="18"/>
          <w:szCs w:val="18"/>
          <w:color w:val="auto"/>
        </w:rPr>
        <w:t>Chief Executive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May 10, 2022</w:t>
      </w:r>
    </w:p>
    <w:p>
      <w:pPr>
        <w:sectPr>
          <w:pgSz w:w="11900" w:h="16838" w:orient="portrait"/>
          <w:cols w:equalWidth="0" w:num="1">
            <w:col w:w="11240"/>
          </w:cols>
          <w:pgMar w:left="320" w:top="140"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74" w:lineRule="exact"/>
        <w:rPr>
          <w:sz w:val="20"/>
          <w:szCs w:val="20"/>
          <w:color w:val="auto"/>
        </w:rPr>
      </w:pPr>
    </w:p>
    <w:p>
      <w:pPr>
        <w:jc w:val="both"/>
        <w:ind w:firstLine="236"/>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ended March 31, 2022 as filed with the Securities and Exchange Commission on the date hereof (the “Report”), I, Tony G. Bowen, Chief Financial Officer of the Company, certify pursuant to 18 U.S.C. § 1350, as adopted pursuant to § 906 of the Sarbanes-Oxley Act of 2002, that:</w:t>
      </w:r>
    </w:p>
    <w:p>
      <w:pPr>
        <w:spacing w:after="0" w:line="244" w:lineRule="exact"/>
        <w:rPr>
          <w:sz w:val="20"/>
          <w:szCs w:val="20"/>
          <w:color w:val="auto"/>
        </w:rPr>
      </w:pPr>
    </w:p>
    <w:p>
      <w:pPr>
        <w:ind w:left="1320" w:hanging="664"/>
        <w:spacing w:after="0"/>
        <w:tabs>
          <w:tab w:leader="none" w:pos="13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61" w:lineRule="auto"/>
        <w:tabs>
          <w:tab w:leader="none" w:pos="13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6350</wp:posOffset>
            </wp:positionV>
            <wp:extent cx="2108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2108835" cy="8890"/>
                    </a:xfrm>
                    <a:prstGeom prst="rect">
                      <a:avLst/>
                    </a:prstGeom>
                    <a:noFill/>
                  </pic:spPr>
                </pic:pic>
              </a:graphicData>
            </a:graphic>
          </wp:anchor>
        </w:drawing>
      </w:r>
    </w:p>
    <w:p>
      <w:pPr>
        <w:ind w:left="7940"/>
        <w:spacing w:after="0"/>
        <w:rPr>
          <w:sz w:val="20"/>
          <w:szCs w:val="20"/>
          <w:color w:val="auto"/>
        </w:rPr>
      </w:pPr>
      <w:r>
        <w:rPr>
          <w:rFonts w:ascii="Arial" w:cs="Arial" w:eastAsia="Arial" w:hAnsi="Arial"/>
          <w:sz w:val="18"/>
          <w:szCs w:val="18"/>
          <w:color w:val="auto"/>
        </w:rPr>
        <w:t>Tony G. Bowen</w:t>
      </w:r>
    </w:p>
    <w:p>
      <w:pPr>
        <w:ind w:left="7940"/>
        <w:spacing w:after="0" w:line="203" w:lineRule="auto"/>
        <w:rPr>
          <w:sz w:val="20"/>
          <w:szCs w:val="20"/>
          <w:color w:val="auto"/>
        </w:rPr>
      </w:pPr>
      <w:r>
        <w:rPr>
          <w:rFonts w:ascii="Arial" w:cs="Arial" w:eastAsia="Arial" w:hAnsi="Arial"/>
          <w:sz w:val="18"/>
          <w:szCs w:val="18"/>
          <w:color w:val="auto"/>
        </w:rPr>
        <w:t>Chief Financial Officer</w:t>
      </w:r>
    </w:p>
    <w:p>
      <w:pPr>
        <w:ind w:left="7940"/>
        <w:spacing w:after="0"/>
        <w:rPr>
          <w:sz w:val="20"/>
          <w:szCs w:val="20"/>
          <w:color w:val="auto"/>
        </w:rPr>
      </w:pPr>
      <w:r>
        <w:rPr>
          <w:rFonts w:ascii="Arial" w:cs="Arial" w:eastAsia="Arial" w:hAnsi="Arial"/>
          <w:sz w:val="18"/>
          <w:szCs w:val="18"/>
          <w:color w:val="auto"/>
        </w:rPr>
        <w:t>H&amp;R Block, Inc.</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May 10, 2022</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2"/>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4"/>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6"/>
      <w:numFmt w:val="bullet"/>
      <w:start w:val="1"/>
    </w:lvl>
  </w:abstractNum>
  <w:abstractNum w:abstractNumId="7">
    <w:nsid w:val="3804823E"/>
    <w:multiLevelType w:val="hybridMultilevel"/>
    <w:lvl w:ilvl="0">
      <w:lvlJc w:val="left"/>
      <w:lvlText w:val="8"/>
      <w:numFmt w:val="bullet"/>
      <w:start w:val="1"/>
    </w:lvl>
  </w:abstractNum>
  <w:abstractNum w:abstractNumId="8">
    <w:nsid w:val="77465F01"/>
    <w:multiLevelType w:val="hybridMultilevel"/>
    <w:lvl w:ilvl="0">
      <w:lvlJc w:val="left"/>
      <w:lvlText w:val="%1"/>
      <w:numFmt w:val="decimal"/>
      <w:start w:val="10"/>
    </w:lvl>
  </w:abstractNum>
  <w:abstractNum w:abstractNumId="9">
    <w:nsid w:val="7724C67E"/>
    <w:multiLevelType w:val="hybridMultilevel"/>
    <w:lvl w:ilvl="0">
      <w:lvlJc w:val="left"/>
      <w:lvlText w:val="%1"/>
      <w:numFmt w:val="decimal"/>
      <w:start w:val="12"/>
    </w:lvl>
  </w:abstractNum>
  <w:abstractNum w:abstractNumId="10">
    <w:nsid w:val="5C482A97"/>
    <w:multiLevelType w:val="hybridMultilevel"/>
    <w:lvl w:ilvl="0">
      <w:lvlJc w:val="left"/>
      <w:lvlText w:val="%1"/>
      <w:numFmt w:val="decimal"/>
      <w:start w:val="14"/>
    </w:lvl>
  </w:abstractNum>
  <w:abstractNum w:abstractNumId="11">
    <w:nsid w:val="2463B9EA"/>
    <w:multiLevelType w:val="hybridMultilevel"/>
    <w:lvl w:ilvl="0">
      <w:lvlJc w:val="left"/>
      <w:lvlText w:val="%1"/>
      <w:numFmt w:val="decimal"/>
      <w:start w:val="16"/>
    </w:lvl>
  </w:abstractNum>
  <w:abstractNum w:abstractNumId="12">
    <w:nsid w:val="5E884ADC"/>
    <w:multiLevelType w:val="hybridMultilevel"/>
    <w:lvl w:ilvl="0">
      <w:lvlJc w:val="left"/>
      <w:lvlText w:val="%1"/>
      <w:numFmt w:val="decimal"/>
      <w:start w:val="18"/>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20"/>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22"/>
    </w:lvl>
  </w:abstractNum>
  <w:abstractNum w:abstractNumId="18">
    <w:nsid w:val="70A64E2A"/>
    <w:multiLevelType w:val="hybridMultilevel"/>
    <w:lvl w:ilvl="0">
      <w:lvlJc w:val="left"/>
      <w:lvlText w:val="%1"/>
      <w:numFmt w:val="decimal"/>
      <w:start w:val="24"/>
    </w:lvl>
  </w:abstractNum>
  <w:abstractNum w:abstractNumId="19">
    <w:nsid w:val="6A2342EC"/>
    <w:multiLevelType w:val="hybridMultilevel"/>
    <w:lvl w:ilvl="0">
      <w:lvlJc w:val="left"/>
      <w:lvlText w:val="%1"/>
      <w:numFmt w:val="decimal"/>
      <w:start w:val="26"/>
    </w:lvl>
  </w:abstractNum>
  <w:abstractNum w:abstractNumId="20">
    <w:nsid w:val="2A487CB0"/>
    <w:multiLevelType w:val="hybridMultilevel"/>
    <w:lvl w:ilvl="0">
      <w:lvlJc w:val="left"/>
      <w:lvlText w:val="%1"/>
      <w:numFmt w:val="decimal"/>
      <w:start w:val="28"/>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22"/>
    </w:lvl>
  </w:abstractNum>
  <w:abstractNum w:abstractNumId="23">
    <w:nsid w:val="2CD89A32"/>
    <w:multiLevelType w:val="hybridMultilevel"/>
    <w:lvl w:ilvl="0">
      <w:lvlJc w:val="left"/>
      <w:lvlText w:val="%1"/>
      <w:numFmt w:val="decimal"/>
      <w:start w:val="30"/>
    </w:lvl>
  </w:abstractNum>
  <w:abstractNum w:abstractNumId="24">
    <w:nsid w:val="57E4CCAF"/>
    <w:multiLevelType w:val="hybridMultilevel"/>
    <w:lvl w:ilvl="0">
      <w:lvlJc w:val="left"/>
      <w:lvlText w:val="(%1)"/>
      <w:numFmt w:val="lowerRoman"/>
      <w:start w:val="1"/>
    </w:lvl>
  </w:abstractNum>
  <w:abstractNum w:abstractNumId="25">
    <w:nsid w:val="7A6D8D3C"/>
    <w:multiLevelType w:val="hybridMultilevel"/>
    <w:lvl w:ilvl="0">
      <w:lvlJc w:val="left"/>
      <w:lvlText w:val="(%1)"/>
      <w:numFmt w:val="lowerRoman"/>
      <w:start w:val="1"/>
    </w:lvl>
  </w:abstractNum>
  <w:abstractNum w:abstractNumId="26">
    <w:nsid w:val="4B588F54"/>
    <w:multiLevelType w:val="hybridMultilevel"/>
    <w:lvl w:ilvl="0">
      <w:lvlJc w:val="left"/>
      <w:lvlText w:val="(%1)"/>
      <w:numFmt w:val="lowerRoman"/>
      <w:start w:val="1"/>
    </w:lvl>
  </w:abstractNum>
  <w:abstractNum w:abstractNumId="27">
    <w:nsid w:val="542289EC"/>
    <w:multiLevelType w:val="hybridMultilevel"/>
    <w:lvl w:ilvl="0">
      <w:lvlJc w:val="left"/>
      <w:lvlText w:val="(%1)"/>
      <w:numFmt w:val="lowerRoman"/>
      <w:start w:val="1"/>
    </w:lvl>
    <w:lvl w:ilvl="1">
      <w:lvlJc w:val="left"/>
      <w:lvlText w:val="(%2)"/>
      <w:numFmt w:val="upperLetter"/>
      <w:start w:val="1"/>
    </w:lvl>
  </w:abstractNum>
  <w:abstractNum w:abstractNumId="28">
    <w:nsid w:val="6DE91B18"/>
    <w:multiLevelType w:val="hybridMultilevel"/>
    <w:lvl w:ilvl="0">
      <w:lvlJc w:val="left"/>
      <w:lvlText w:val="(%1)"/>
      <w:numFmt w:val="lowerRoman"/>
      <w:start w:val="1"/>
    </w:lvl>
  </w:abstractNum>
  <w:abstractNum w:abstractNumId="29">
    <w:nsid w:val="38437FD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
    <w:nsid w:val="7644A45C"/>
    <w:multiLevelType w:val="hybridMultilevel"/>
    <w:lvl w:ilvl="0">
      <w:lvlJc w:val="left"/>
      <w:lvlText w:val="%1"/>
      <w:numFmt w:val="lowerLetter"/>
      <w:start w:val="1"/>
    </w:lvl>
    <w:lvl w:ilvl="1">
      <w:lvlJc w:val="left"/>
      <w:lvlText w:val="(%2)"/>
      <w:numFmt w:val="lowerRoman"/>
      <w:start w:val="2"/>
    </w:lvl>
  </w:abstractNum>
  <w:abstractNum w:abstractNumId="31">
    <w:nsid w:val="32FFF902"/>
    <w:multiLevelType w:val="hybridMultilevel"/>
    <w:lvl w:ilvl="0">
      <w:lvlJc w:val="left"/>
      <w:lvlText w:val="(%1)"/>
      <w:numFmt w:val="lowerLetter"/>
      <w:start w:val="2"/>
    </w:lvl>
    <w:lvl w:ilvl="1">
      <w:lvlJc w:val="left"/>
      <w:lvlText w:val="%2"/>
      <w:numFmt w:val="lowerRoman"/>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2"/>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Roman"/>
      <w:start w:val="1"/>
    </w:lvl>
  </w:abstractNum>
  <w:abstractNum w:abstractNumId="38">
    <w:nsid w:val="75C6C33A"/>
    <w:multiLevelType w:val="hybridMultilevel"/>
    <w:lvl w:ilvl="0">
      <w:lvlJc w:val="left"/>
      <w:lvlText w:val="(%1)"/>
      <w:numFmt w:val="lowerLetter"/>
      <w:start w:val="24"/>
    </w:lvl>
  </w:abstractNum>
  <w:abstractNum w:abstractNumId="39">
    <w:nsid w:val="12E685FB"/>
    <w:multiLevelType w:val="hybridMultilevel"/>
    <w:lvl w:ilvl="0">
      <w:lvlJc w:val="left"/>
      <w:lvlText w:val="%1."/>
      <w:numFmt w:val="upperLetter"/>
      <w:start w:val="9"/>
    </w:lvl>
  </w:abstractNum>
  <w:abstractNum w:abstractNumId="40">
    <w:nsid w:val="70C6A529"/>
    <w:multiLevelType w:val="hybridMultilevel"/>
    <w:lvl w:ilvl="0">
      <w:lvlJc w:val="left"/>
      <w:lvlText w:val="%1."/>
      <w:numFmt w:val="upperLetter"/>
      <w:start w:val="1"/>
    </w:lvl>
  </w:abstractNum>
  <w:abstractNum w:abstractNumId="41">
    <w:nsid w:val="520EEDD1"/>
    <w:multiLevelType w:val="hybridMultilevel"/>
    <w:lvl w:ilvl="0">
      <w:lvlJc w:val="left"/>
      <w:lvlText w:val="%1."/>
      <w:numFmt w:val="upperLetter"/>
      <w:start w:val="35"/>
    </w:lvl>
  </w:abstractNum>
  <w:abstractNum w:abstractNumId="42">
    <w:nsid w:val="374A3FE6"/>
    <w:multiLevelType w:val="hybridMultilevel"/>
    <w:lvl w:ilvl="0">
      <w:lvlJc w:val="left"/>
      <w:lvlText w:val="%1."/>
      <w:numFmt w:val="upperLetter"/>
      <w:start w:val="1"/>
    </w:lvl>
    <w:lvl w:ilvl="1">
      <w:lvlJc w:val="left"/>
      <w:lvlText w:val="%2."/>
      <w:numFmt w:val="decimal"/>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6">
    <w:nsid w:val="275AC794"/>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7">
    <w:nsid w:val="3938657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8">
    <w:nsid w:val="1CF10FD8"/>
    <w:multiLevelType w:val="hybridMultilevel"/>
    <w:lvl w:ilvl="0">
      <w:lvlJc w:val="left"/>
      <w:lvlText w:val="%1"/>
      <w:numFmt w:val="upperLetter"/>
      <w:start w:val="1"/>
    </w:lvl>
    <w:lvl w:ilvl="1">
      <w:lvlJc w:val="left"/>
      <w:lvlText w:val="%2."/>
      <w:numFmt w:val="decimal"/>
      <w:start w:val="5"/>
    </w:lvl>
  </w:abstractNum>
  <w:abstractNum w:abstractNumId="49">
    <w:nsid w:val="180115BE"/>
    <w:multiLevelType w:val="hybridMultilevel"/>
    <w:lvl w:ilvl="0">
      <w:lvlJc w:val="left"/>
      <w:lvlText w:val="%1."/>
      <w:numFmt w:val="upperLetter"/>
      <w:start w:val="61"/>
    </w:lvl>
    <w:lvl w:ilvl="1">
      <w:lvlJc w:val="left"/>
      <w:lvlText w:val="%2"/>
      <w:numFmt w:val="decimal"/>
      <w:start w:val="1"/>
    </w:lvl>
  </w:abstractNum>
  <w:abstractNum w:abstractNumId="50">
    <w:nsid w:val="235BA861"/>
    <w:multiLevelType w:val="hybridMultilevel"/>
    <w:lvl w:ilvl="0">
      <w:lvlJc w:val="left"/>
      <w:lvlText w:val="%1."/>
      <w:numFmt w:val="upperLetter"/>
      <w:start w:val="1"/>
    </w:lvl>
  </w:abstractNum>
  <w:abstractNum w:abstractNumId="51">
    <w:nsid w:val="47398C89"/>
    <w:multiLevelType w:val="hybridMultilevel"/>
    <w:lvl w:ilvl="0">
      <w:lvlJc w:val="left"/>
      <w:lvlText w:val="%1."/>
      <w:numFmt w:val="upperLetter"/>
      <w:start w:val="5"/>
    </w:lvl>
  </w:abstractNum>
  <w:abstractNum w:abstractNumId="52">
    <w:nsid w:val="354FE9F9"/>
    <w:multiLevelType w:val="hybridMultilevel"/>
    <w:lvl w:ilvl="0">
      <w:lvlJc w:val="left"/>
      <w:lvlText w:val="%1."/>
      <w:numFmt w:val="upperLetter"/>
      <w:start w:val="1"/>
    </w:lvl>
  </w:abstractNum>
  <w:abstractNum w:abstractNumId="53">
    <w:nsid w:val="15B5AF5C"/>
    <w:multiLevelType w:val="hybridMultilevel"/>
    <w:lvl w:ilvl="0">
      <w:lvlJc w:val="left"/>
      <w:lvlText w:val="%1."/>
      <w:numFmt w:val="upperLetter"/>
      <w:start w:val="2"/>
    </w:lvl>
  </w:abstractNum>
  <w:abstractNum w:abstractNumId="54">
    <w:nsid w:val="741226BB"/>
    <w:multiLevelType w:val="hybridMultilevel"/>
    <w:lvl w:ilvl="0">
      <w:lvlJc w:val="left"/>
      <w:lvlText w:val="%1."/>
      <w:numFmt w:val="upperLetter"/>
      <w:start w:val="22"/>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decimal"/>
      <w:start w:val="5"/>
    </w:lvl>
  </w:abstractNum>
  <w:abstractNum w:abstractNumId="58">
    <w:nsid w:val="61574095"/>
    <w:multiLevelType w:val="hybridMultilevel"/>
    <w:lvl w:ilvl="0">
      <w:lvlJc w:val="left"/>
      <w:lvlText w:val="(%1)"/>
      <w:numFmt w:val="lowerLetter"/>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76" Type="http://schemas.openxmlformats.org/officeDocument/2006/relationships/hyperlink" Target="http://www.sec.gov/Archives/edgar/data/12659/000183886221000036/hrbtransitionperiod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2022-05-10T16:03:23Z</dcterms:created>
  <dcterms:modified xsi:type="dcterms:W3CDTF">2022-05-10T16:03:23Z</dcterms:modified>
</cp:coreProperties>
</file>