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SECURITIES AND EXCHANGE COMMISSION</w:t>
      </w:r>
    </w:p>
    <w:p>
      <w:pPr>
        <w:jc w:val="center"/>
        <w:spacing w:after="0" w:line="229" w:lineRule="auto"/>
        <w:rPr>
          <w:sz w:val="20"/>
          <w:szCs w:val="20"/>
          <w:color w:val="auto"/>
        </w:rPr>
      </w:pPr>
      <w:r>
        <w:rPr>
          <w:rFonts w:ascii="Calibri" w:cs="Calibri" w:eastAsia="Calibri" w:hAnsi="Calibri"/>
          <w:sz w:val="22"/>
          <w:szCs w:val="22"/>
          <w:b w:val="1"/>
          <w:bCs w:val="1"/>
          <w:color w:val="auto"/>
        </w:rPr>
        <w:t>WASHINGTON, D.C. 20549</w:t>
      </w:r>
    </w:p>
    <w:p>
      <w:pPr>
        <w:jc w:val="center"/>
        <w:spacing w:after="0" w:line="227" w:lineRule="auto"/>
        <w:rPr>
          <w:sz w:val="20"/>
          <w:szCs w:val="20"/>
          <w:color w:val="auto"/>
        </w:rPr>
      </w:pPr>
      <w:r>
        <w:rPr>
          <w:rFonts w:ascii="Calibri" w:cs="Calibri" w:eastAsia="Calibri" w:hAnsi="Calibri"/>
          <w:sz w:val="22"/>
          <w:szCs w:val="22"/>
          <w:b w:val="1"/>
          <w:bCs w:val="1"/>
          <w:color w:val="auto"/>
        </w:rPr>
        <w:t>FORM 8-K</w:t>
      </w:r>
    </w:p>
    <w:p>
      <w:pPr>
        <w:spacing w:after="0" w:line="205"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jc w:val="center"/>
        <w:spacing w:after="0" w:line="231" w:lineRule="auto"/>
        <w:rPr>
          <w:sz w:val="20"/>
          <w:szCs w:val="20"/>
          <w:color w:val="auto"/>
        </w:rPr>
      </w:pPr>
      <w:r>
        <w:rPr>
          <w:rFonts w:ascii="Calibri" w:cs="Calibri" w:eastAsia="Calibri" w:hAnsi="Calibri"/>
          <w:sz w:val="22"/>
          <w:szCs w:val="22"/>
          <w:b w:val="1"/>
          <w:bCs w:val="1"/>
          <w:color w:val="auto"/>
        </w:rPr>
        <w:t>Pursuant to Secton 13 or 15(d) of the Securites Exchange Act of 1934</w:t>
      </w:r>
    </w:p>
    <w:p>
      <w:pPr>
        <w:spacing w:after="0" w:line="229" w:lineRule="exact"/>
        <w:rPr>
          <w:sz w:val="24"/>
          <w:szCs w:val="24"/>
          <w:color w:val="auto"/>
        </w:rPr>
      </w:pPr>
    </w:p>
    <w:p>
      <w:pPr>
        <w:jc w:val="center"/>
        <w:spacing w:after="0"/>
        <w:rPr>
          <w:sz w:val="20"/>
          <w:szCs w:val="20"/>
          <w:color w:val="auto"/>
        </w:rPr>
      </w:pPr>
      <w:r>
        <w:rPr>
          <w:rFonts w:ascii="Calibri" w:cs="Calibri" w:eastAsia="Calibri" w:hAnsi="Calibri"/>
          <w:sz w:val="22"/>
          <w:szCs w:val="22"/>
          <w:color w:val="auto"/>
        </w:rPr>
        <w:t>Date of Report (date of earliest event reported): November 1, 2022</w:t>
      </w:r>
    </w:p>
    <w:p>
      <w:pPr>
        <w:spacing w:after="0" w:line="24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H&amp;R BLOCK, INC.</w:t>
      </w:r>
    </w:p>
    <w:p>
      <w:pPr>
        <w:jc w:val="center"/>
        <w:spacing w:after="0"/>
        <w:rPr>
          <w:sz w:val="20"/>
          <w:szCs w:val="20"/>
          <w:color w:val="auto"/>
        </w:rPr>
      </w:pPr>
      <w:r>
        <w:rPr>
          <w:rFonts w:ascii="Calibri" w:cs="Calibri" w:eastAsia="Calibri" w:hAnsi="Calibri"/>
          <w:sz w:val="18"/>
          <w:szCs w:val="18"/>
          <w:color w:val="auto"/>
        </w:rPr>
        <w:t>(Exact name of registrant as specifed in charter)</w:t>
      </w:r>
    </w:p>
    <w:p>
      <w:pPr>
        <w:spacing w:after="0" w:line="253"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3000" w:type="dxa"/>
            <w:vAlign w:val="bottom"/>
          </w:tcPr>
          <w:p>
            <w:pPr>
              <w:jc w:val="center"/>
              <w:ind w:right="770"/>
              <w:spacing w:after="0"/>
              <w:rPr>
                <w:sz w:val="20"/>
                <w:szCs w:val="20"/>
                <w:color w:val="auto"/>
              </w:rPr>
            </w:pPr>
            <w:r>
              <w:rPr>
                <w:rFonts w:ascii="Calibri" w:cs="Calibri" w:eastAsia="Calibri" w:hAnsi="Calibri"/>
                <w:sz w:val="18"/>
                <w:szCs w:val="18"/>
                <w:b w:val="1"/>
                <w:bCs w:val="1"/>
                <w:color w:val="auto"/>
                <w:w w:val="95"/>
              </w:rPr>
              <w:t>Missouri</w:t>
            </w:r>
          </w:p>
        </w:tc>
        <w:tc>
          <w:tcPr>
            <w:tcW w:w="3840" w:type="dxa"/>
            <w:vAlign w:val="bottom"/>
          </w:tcPr>
          <w:p>
            <w:pPr>
              <w:jc w:val="right"/>
              <w:ind w:right="1650"/>
              <w:spacing w:after="0"/>
              <w:rPr>
                <w:sz w:val="20"/>
                <w:szCs w:val="20"/>
                <w:color w:val="auto"/>
              </w:rPr>
            </w:pPr>
            <w:r>
              <w:rPr>
                <w:rFonts w:ascii="Calibri" w:cs="Calibri" w:eastAsia="Calibri" w:hAnsi="Calibri"/>
                <w:sz w:val="18"/>
                <w:szCs w:val="18"/>
                <w:b w:val="1"/>
                <w:bCs w:val="1"/>
                <w:color w:val="auto"/>
              </w:rPr>
              <w:t>1-06089</w:t>
            </w:r>
          </w:p>
        </w:tc>
        <w:tc>
          <w:tcPr>
            <w:tcW w:w="2360" w:type="dxa"/>
            <w:vAlign w:val="bottom"/>
          </w:tcPr>
          <w:p>
            <w:pPr>
              <w:jc w:val="center"/>
              <w:ind w:left="1010"/>
              <w:spacing w:after="0"/>
              <w:rPr>
                <w:sz w:val="20"/>
                <w:szCs w:val="20"/>
                <w:color w:val="auto"/>
              </w:rPr>
            </w:pPr>
            <w:r>
              <w:rPr>
                <w:rFonts w:ascii="Calibri" w:cs="Calibri" w:eastAsia="Calibri" w:hAnsi="Calibri"/>
                <w:sz w:val="18"/>
                <w:szCs w:val="18"/>
                <w:b w:val="1"/>
                <w:bCs w:val="1"/>
                <w:color w:val="auto"/>
                <w:w w:val="98"/>
              </w:rPr>
              <w:t>44-0607856</w:t>
            </w:r>
          </w:p>
        </w:tc>
      </w:tr>
      <w:tr>
        <w:trPr>
          <w:trHeight w:val="229"/>
        </w:trPr>
        <w:tc>
          <w:tcPr>
            <w:tcW w:w="3000" w:type="dxa"/>
            <w:vAlign w:val="bottom"/>
          </w:tcPr>
          <w:p>
            <w:pPr>
              <w:jc w:val="center"/>
              <w:ind w:right="770"/>
              <w:spacing w:after="0"/>
              <w:rPr>
                <w:sz w:val="20"/>
                <w:szCs w:val="20"/>
                <w:color w:val="auto"/>
              </w:rPr>
            </w:pPr>
            <w:r>
              <w:rPr>
                <w:rFonts w:ascii="Calibri" w:cs="Calibri" w:eastAsia="Calibri" w:hAnsi="Calibri"/>
                <w:sz w:val="18"/>
                <w:szCs w:val="18"/>
                <w:color w:val="auto"/>
                <w:w w:val="99"/>
              </w:rPr>
              <w:t>(State or other jurisdicton of</w:t>
            </w:r>
          </w:p>
        </w:tc>
        <w:tc>
          <w:tcPr>
            <w:tcW w:w="3840" w:type="dxa"/>
            <w:vAlign w:val="bottom"/>
          </w:tcPr>
          <w:p>
            <w:pPr>
              <w:jc w:val="center"/>
              <w:ind w:right="130"/>
              <w:spacing w:after="0"/>
              <w:rPr>
                <w:sz w:val="20"/>
                <w:szCs w:val="20"/>
                <w:color w:val="auto"/>
              </w:rPr>
            </w:pPr>
            <w:r>
              <w:rPr>
                <w:rFonts w:ascii="Calibri" w:cs="Calibri" w:eastAsia="Calibri" w:hAnsi="Calibri"/>
                <w:sz w:val="18"/>
                <w:szCs w:val="18"/>
                <w:color w:val="auto"/>
                <w:w w:val="98"/>
              </w:rPr>
              <w:t>(Commission File Number)</w:t>
            </w:r>
          </w:p>
        </w:tc>
        <w:tc>
          <w:tcPr>
            <w:tcW w:w="2360" w:type="dxa"/>
            <w:vAlign w:val="bottom"/>
          </w:tcPr>
          <w:p>
            <w:pPr>
              <w:jc w:val="center"/>
              <w:ind w:left="990"/>
              <w:spacing w:after="0"/>
              <w:rPr>
                <w:sz w:val="20"/>
                <w:szCs w:val="20"/>
                <w:color w:val="auto"/>
              </w:rPr>
            </w:pPr>
            <w:r>
              <w:rPr>
                <w:rFonts w:ascii="Calibri" w:cs="Calibri" w:eastAsia="Calibri" w:hAnsi="Calibri"/>
                <w:sz w:val="18"/>
                <w:szCs w:val="18"/>
                <w:color w:val="auto"/>
                <w:w w:val="97"/>
              </w:rPr>
              <w:t>(I.R.S. Employer</w:t>
            </w:r>
          </w:p>
        </w:tc>
      </w:tr>
      <w:tr>
        <w:trPr>
          <w:trHeight w:val="229"/>
        </w:trPr>
        <w:tc>
          <w:tcPr>
            <w:tcW w:w="3000" w:type="dxa"/>
            <w:vAlign w:val="bottom"/>
          </w:tcPr>
          <w:p>
            <w:pPr>
              <w:jc w:val="center"/>
              <w:ind w:right="770"/>
              <w:spacing w:after="0"/>
              <w:rPr>
                <w:sz w:val="20"/>
                <w:szCs w:val="20"/>
                <w:color w:val="auto"/>
              </w:rPr>
            </w:pPr>
            <w:r>
              <w:rPr>
                <w:rFonts w:ascii="Calibri" w:cs="Calibri" w:eastAsia="Calibri" w:hAnsi="Calibri"/>
                <w:sz w:val="18"/>
                <w:szCs w:val="18"/>
                <w:color w:val="auto"/>
              </w:rPr>
              <w:t>incorporaton or organizaton)</w:t>
            </w:r>
          </w:p>
        </w:tc>
        <w:tc>
          <w:tcPr>
            <w:tcW w:w="3840" w:type="dxa"/>
            <w:vAlign w:val="bottom"/>
          </w:tcPr>
          <w:p>
            <w:pPr>
              <w:spacing w:after="0"/>
              <w:rPr>
                <w:sz w:val="19"/>
                <w:szCs w:val="19"/>
                <w:color w:val="auto"/>
              </w:rPr>
            </w:pPr>
          </w:p>
        </w:tc>
        <w:tc>
          <w:tcPr>
            <w:tcW w:w="2360" w:type="dxa"/>
            <w:vAlign w:val="bottom"/>
          </w:tcPr>
          <w:p>
            <w:pPr>
              <w:jc w:val="center"/>
              <w:ind w:left="990"/>
              <w:spacing w:after="0"/>
              <w:rPr>
                <w:sz w:val="20"/>
                <w:szCs w:val="20"/>
                <w:color w:val="auto"/>
              </w:rPr>
            </w:pPr>
            <w:r>
              <w:rPr>
                <w:rFonts w:ascii="Calibri" w:cs="Calibri" w:eastAsia="Calibri" w:hAnsi="Calibri"/>
                <w:sz w:val="18"/>
                <w:szCs w:val="18"/>
                <w:color w:val="auto"/>
              </w:rPr>
              <w:t>Identfcaton No.)</w:t>
            </w:r>
          </w:p>
        </w:tc>
      </w:tr>
    </w:tbl>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One H&amp;R Block Way, Kansas City, MO 64105</w:t>
      </w:r>
    </w:p>
    <w:p>
      <w:pPr>
        <w:spacing w:after="0" w:line="15"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(Address of Principal Executve Ofces) (Zip Code)</w:t>
      </w:r>
    </w:p>
    <w:p>
      <w:pPr>
        <w:spacing w:after="0" w:line="227"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(816) 854-3000</w:t>
      </w:r>
    </w:p>
    <w:p>
      <w:pPr>
        <w:jc w:val="center"/>
        <w:spacing w:after="0"/>
        <w:rPr>
          <w:sz w:val="20"/>
          <w:szCs w:val="20"/>
          <w:color w:val="auto"/>
        </w:rPr>
      </w:pPr>
      <w:r>
        <w:rPr>
          <w:rFonts w:ascii="Calibri" w:cs="Calibri" w:eastAsia="Calibri" w:hAnsi="Calibri"/>
          <w:sz w:val="18"/>
          <w:szCs w:val="18"/>
          <w:color w:val="auto"/>
        </w:rPr>
        <w:t>(Registrant's telephone number, including area code)</w:t>
      </w:r>
    </w:p>
    <w:p>
      <w:pPr>
        <w:spacing w:after="0" w:line="227"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Not Applicable</w:t>
      </w:r>
    </w:p>
    <w:p>
      <w:pPr>
        <w:jc w:val="center"/>
        <w:spacing w:after="0"/>
        <w:rPr>
          <w:sz w:val="20"/>
          <w:szCs w:val="20"/>
          <w:color w:val="auto"/>
        </w:rPr>
      </w:pPr>
      <w:r>
        <w:rPr>
          <w:rFonts w:ascii="Calibri" w:cs="Calibri" w:eastAsia="Calibri" w:hAnsi="Calibri"/>
          <w:sz w:val="18"/>
          <w:szCs w:val="18"/>
          <w:color w:val="auto"/>
        </w:rPr>
        <w:t>(Former name or former address, if changed since last report)</w:t>
      </w:r>
    </w:p>
    <w:p>
      <w:pPr>
        <w:spacing w:after="0" w:line="352" w:lineRule="exact"/>
        <w:rPr>
          <w:sz w:val="24"/>
          <w:szCs w:val="24"/>
          <w:color w:val="auto"/>
        </w:rPr>
      </w:pPr>
    </w:p>
    <w:p>
      <w:pPr>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(see General Instructon A.2. below):</w:t>
      </w:r>
    </w:p>
    <w:p>
      <w:pPr>
        <w:spacing w:after="0" w:line="10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Calibri" w:cs="Calibri" w:eastAsia="Calibri" w:hAnsi="Calibri"/>
          <w:sz w:val="18"/>
          <w:szCs w:val="18"/>
          <w:color w:val="auto"/>
        </w:rPr>
        <w:t>Writen communicatons pursuant to Rule 425 under the Securites Act (17 CFR 230.425)</w:t>
      </w:r>
    </w:p>
    <w:p>
      <w:pPr>
        <w:spacing w:after="0" w:line="50"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Calibri" w:cs="Calibri" w:eastAsia="Calibri" w:hAnsi="Calibri"/>
          <w:sz w:val="18"/>
          <w:szCs w:val="18"/>
          <w:color w:val="auto"/>
        </w:rPr>
        <w:t>Solicitng material pursuant to Rule 14a-12 under the Exchange Act (17 CFR 240.14a-12)</w:t>
      </w:r>
    </w:p>
    <w:p>
      <w:pPr>
        <w:spacing w:after="0" w:line="50"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Calibri" w:cs="Calibri" w:eastAsia="Calibri" w:hAnsi="Calibri"/>
          <w:sz w:val="18"/>
          <w:szCs w:val="18"/>
          <w:color w:val="auto"/>
        </w:rPr>
        <w:t>Pre-commencement communicatons pursuant to Rule 14d-2(b) under the Exchange Act (17 CFR 240.14d-2(b))</w:t>
      </w:r>
    </w:p>
    <w:p>
      <w:pPr>
        <w:spacing w:after="0" w:line="50"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Calibri" w:cs="Calibri" w:eastAsia="Calibri" w:hAnsi="Calibri"/>
          <w:sz w:val="18"/>
          <w:szCs w:val="18"/>
          <w:color w:val="auto"/>
        </w:rPr>
        <w:t>Pre-commencement communicatons pursuant to Rule 13e-4(c) under the Exchange Act (17 CFR 240.13e-4(c))</w:t>
      </w:r>
    </w:p>
    <w:p>
      <w:pPr>
        <w:spacing w:after="0" w:line="104" w:lineRule="exact"/>
        <w:rPr>
          <w:sz w:val="24"/>
          <w:szCs w:val="24"/>
          <w:color w:val="auto"/>
        </w:rPr>
      </w:pP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125" w:lineRule="exact"/>
        <w:rPr>
          <w:sz w:val="24"/>
          <w:szCs w:val="24"/>
          <w:color w:val="auto"/>
        </w:rPr>
      </w:pPr>
    </w:p>
    <w:tbl>
      <w:tblPr>
        <w:tblLayout w:type="fixed"/>
        <w:tblInd w:w="50" w:type="dxa"/>
        <w:tblCellMar>
          <w:top w:w="0" w:type="dxa"/>
          <w:left w:w="0" w:type="dxa"/>
          <w:bottom w:w="0" w:type="dxa"/>
          <w:right w:w="0" w:type="dxa"/>
        </w:tblCellMar>
      </w:tblPr>
      <w:tr>
        <w:trPr>
          <w:trHeight w:val="23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7"/>
              </w:rPr>
              <w:t>Trading Symbol(s)</w:t>
            </w:r>
          </w:p>
        </w:tc>
        <w:tc>
          <w:tcPr>
            <w:tcW w:w="5380" w:type="dxa"/>
            <w:vAlign w:val="bottom"/>
            <w:tcBorders>
              <w:top w:val="single" w:sz="8" w:color="auto"/>
              <w:bottom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Name of each exchange on which registered</w:t>
            </w:r>
          </w:p>
        </w:tc>
      </w:tr>
      <w:tr>
        <w:trPr>
          <w:trHeight w:val="223"/>
        </w:trPr>
        <w:tc>
          <w:tcPr>
            <w:tcW w:w="3660" w:type="dxa"/>
            <w:vAlign w:val="bottom"/>
            <w:tcBorders>
              <w:left w:val="single" w:sz="8" w:color="auto"/>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7"/>
              </w:rPr>
              <w:t>Common Stock, without par value</w:t>
            </w:r>
          </w:p>
        </w:tc>
        <w:tc>
          <w:tcPr>
            <w:tcW w:w="216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7"/>
              </w:rPr>
              <w:t>HRB</w:t>
            </w:r>
          </w:p>
        </w:tc>
        <w:tc>
          <w:tcPr>
            <w:tcW w:w="538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6"/>
              </w:rPr>
              <w:t>New York Stock Exchange</w:t>
            </w:r>
          </w:p>
        </w:tc>
      </w:tr>
    </w:tbl>
    <w:p>
      <w:pPr>
        <w:spacing w:after="0" w:line="167" w:lineRule="exact"/>
        <w:rPr>
          <w:sz w:val="24"/>
          <w:szCs w:val="24"/>
          <w:color w:val="auto"/>
        </w:rPr>
      </w:pPr>
    </w:p>
    <w:p>
      <w:pPr>
        <w:jc w:val="both"/>
        <w:spacing w:after="0" w:line="238" w:lineRule="exact"/>
        <w:rPr>
          <w:sz w:val="20"/>
          <w:szCs w:val="20"/>
          <w:color w:val="auto"/>
        </w:rPr>
      </w:pPr>
      <w:r>
        <w:rPr>
          <w:rFonts w:ascii="Calibri" w:cs="Calibri" w:eastAsia="Calibri" w:hAnsi="Calibri"/>
          <w:sz w:val="18"/>
          <w:szCs w:val="18"/>
          <w:color w:val="auto"/>
        </w:rPr>
        <w:t xml:space="preserve">Indicate by check mark whether the registrant is an emerging growth company as defned in Rule 405 of the Securites Act of 1933 (§230.405 of this chapter) or Rule 12b-2 of the Securites Exchange Act of 1934 (§240.12b-2 of this chapter). Emerging growth company </w:t>
      </w:r>
      <w:r>
        <w:rPr>
          <w:rFonts w:ascii="MS PGothic" w:cs="MS PGothic" w:eastAsia="MS PGothic" w:hAnsi="MS PGothic"/>
          <w:sz w:val="18"/>
          <w:szCs w:val="18"/>
          <w:color w:val="auto"/>
        </w:rPr>
        <w:t>☐</w:t>
      </w:r>
    </w:p>
    <w:p>
      <w:pPr>
        <w:spacing w:after="0" w:line="79" w:lineRule="exact"/>
        <w:rPr>
          <w:sz w:val="24"/>
          <w:szCs w:val="24"/>
          <w:color w:val="auto"/>
        </w:rPr>
      </w:pPr>
    </w:p>
    <w:p>
      <w:pPr>
        <w:jc w:val="both"/>
        <w:ind w:right="20"/>
        <w:spacing w:after="0" w:line="238"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1054735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63"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22"/>
          <w:szCs w:val="22"/>
          <w:b w:val="1"/>
          <w:bCs w:val="1"/>
          <w:color w:val="auto"/>
        </w:rPr>
        <w:t>Item 2.02.</w:t>
        <w:tab/>
        <w:t>Results of Operatons and Financial Conditon.</w:t>
      </w:r>
    </w:p>
    <w:p>
      <w:pPr>
        <w:spacing w:after="0" w:line="136" w:lineRule="exact"/>
        <w:rPr>
          <w:sz w:val="20"/>
          <w:szCs w:val="20"/>
          <w:color w:val="auto"/>
        </w:rPr>
      </w:pPr>
    </w:p>
    <w:p>
      <w:pPr>
        <w:spacing w:after="0" w:line="228" w:lineRule="auto"/>
        <w:rPr>
          <w:sz w:val="20"/>
          <w:szCs w:val="20"/>
          <w:color w:val="auto"/>
        </w:rPr>
      </w:pPr>
      <w:r>
        <w:rPr>
          <w:rFonts w:ascii="Calibri" w:cs="Calibri" w:eastAsia="Calibri" w:hAnsi="Calibri"/>
          <w:sz w:val="21"/>
          <w:szCs w:val="21"/>
          <w:color w:val="auto"/>
        </w:rPr>
        <w:t>On November 1, 2022, the Company issued a press release regarding the Company’s results of operatons for the fscal quarter ended September 30, 2022. A copy of the press release is furnished as Exhibit 99.1 to this Current Report on Form 8-K.</w:t>
      </w:r>
    </w:p>
    <w:p>
      <w:pPr>
        <w:spacing w:after="0" w:line="96"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22"/>
          <w:szCs w:val="22"/>
          <w:b w:val="1"/>
          <w:bCs w:val="1"/>
          <w:color w:val="auto"/>
        </w:rPr>
        <w:t>Item 9.01.</w:t>
      </w:r>
      <w:r>
        <w:rPr>
          <w:sz w:val="20"/>
          <w:szCs w:val="20"/>
          <w:color w:val="auto"/>
        </w:rPr>
        <w:tab/>
      </w:r>
      <w:r>
        <w:rPr>
          <w:rFonts w:ascii="Calibri" w:cs="Calibri" w:eastAsia="Calibri" w:hAnsi="Calibri"/>
          <w:sz w:val="21"/>
          <w:szCs w:val="21"/>
          <w:b w:val="1"/>
          <w:bCs w:val="1"/>
          <w:color w:val="auto"/>
        </w:rPr>
        <w:t>Financial Statements and Exhibits.</w:t>
      </w:r>
    </w:p>
    <w:p>
      <w:pPr>
        <w:spacing w:after="0" w:line="109" w:lineRule="exact"/>
        <w:rPr>
          <w:sz w:val="20"/>
          <w:szCs w:val="20"/>
          <w:color w:val="auto"/>
        </w:rPr>
      </w:pPr>
    </w:p>
    <w:p>
      <w:pPr>
        <w:spacing w:after="0"/>
        <w:rPr>
          <w:sz w:val="20"/>
          <w:szCs w:val="20"/>
          <w:color w:val="auto"/>
        </w:rPr>
      </w:pPr>
      <w:r>
        <w:rPr>
          <w:rFonts w:ascii="Calibri" w:cs="Calibri" w:eastAsia="Calibri" w:hAnsi="Calibri"/>
          <w:sz w:val="22"/>
          <w:szCs w:val="22"/>
          <w:color w:val="auto"/>
        </w:rPr>
        <w:t>(d) Exhibits</w:t>
      </w:r>
    </w:p>
    <w:p>
      <w:pPr>
        <w:spacing w:after="0" w:line="96" w:lineRule="exact"/>
        <w:rPr>
          <w:sz w:val="20"/>
          <w:szCs w:val="20"/>
          <w:color w:val="auto"/>
        </w:rPr>
      </w:pPr>
    </w:p>
    <w:p>
      <w:pPr>
        <w:spacing w:after="0"/>
        <w:tabs>
          <w:tab w:leader="none" w:pos="1560" w:val="left"/>
        </w:tabs>
        <w:rPr>
          <w:sz w:val="20"/>
          <w:szCs w:val="20"/>
          <w:color w:val="auto"/>
        </w:rPr>
      </w:pPr>
      <w:r>
        <w:rPr>
          <w:rFonts w:ascii="Calibri" w:cs="Calibri" w:eastAsia="Calibri" w:hAnsi="Calibri"/>
          <w:sz w:val="22"/>
          <w:szCs w:val="22"/>
          <w:u w:val="single" w:color="auto"/>
          <w:color w:val="auto"/>
        </w:rPr>
        <w:t>Exhibit Number</w:t>
        <w:tab/>
        <w:t>Descripton</w:t>
      </w:r>
    </w:p>
    <w:p>
      <w:pPr>
        <w:spacing w:after="0"/>
        <w:tabs>
          <w:tab w:leader="none" w:pos="560" w:val="left"/>
        </w:tabs>
        <w:rPr>
          <w:sz w:val="20"/>
          <w:szCs w:val="20"/>
          <w:color w:val="auto"/>
        </w:rPr>
      </w:pPr>
      <w:r>
        <w:rPr>
          <w:rFonts w:ascii="Calibri" w:cs="Calibri" w:eastAsia="Calibri" w:hAnsi="Calibri"/>
          <w:sz w:val="22"/>
          <w:szCs w:val="22"/>
          <w:u w:val="single" w:color="auto"/>
          <w:color w:val="0000FF"/>
        </w:rPr>
        <w:t>99.1</w:t>
      </w:r>
      <w:r>
        <w:rPr>
          <w:sz w:val="20"/>
          <w:szCs w:val="20"/>
          <w:color w:val="auto"/>
        </w:rPr>
        <w:tab/>
      </w:r>
      <w:r>
        <w:rPr>
          <w:rFonts w:ascii="Calibri" w:cs="Calibri" w:eastAsia="Calibri" w:hAnsi="Calibri"/>
          <w:sz w:val="21"/>
          <w:szCs w:val="21"/>
          <w:u w:val="single" w:color="auto"/>
          <w:color w:val="0000FF"/>
        </w:rPr>
        <w:t>Press Release Issued November 1, 2022.</w:t>
      </w:r>
    </w:p>
    <w:p>
      <w:pPr>
        <w:spacing w:after="0" w:line="238" w:lineRule="auto"/>
        <w:tabs>
          <w:tab w:leader="none" w:pos="520" w:val="left"/>
        </w:tabs>
        <w:rPr>
          <w:sz w:val="20"/>
          <w:szCs w:val="20"/>
          <w:color w:val="auto"/>
        </w:rPr>
      </w:pPr>
      <w:r>
        <w:rPr>
          <w:rFonts w:ascii="Calibri" w:cs="Calibri" w:eastAsia="Calibri" w:hAnsi="Calibri"/>
          <w:sz w:val="22"/>
          <w:szCs w:val="22"/>
          <w:color w:val="auto"/>
        </w:rPr>
        <w:t>104</w:t>
      </w:r>
      <w:r>
        <w:rPr>
          <w:sz w:val="20"/>
          <w:szCs w:val="20"/>
          <w:color w:val="auto"/>
        </w:rPr>
        <w:tab/>
      </w:r>
      <w:r>
        <w:rPr>
          <w:rFonts w:ascii="Calibri" w:cs="Calibri" w:eastAsia="Calibri" w:hAnsi="Calibri"/>
          <w:sz w:val="21"/>
          <w:szCs w:val="21"/>
          <w:color w:val="auto"/>
        </w:rPr>
        <w:t>Cover Page Interactve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1051560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63"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SIGNATURES</w:t>
      </w:r>
    </w:p>
    <w:p>
      <w:pPr>
        <w:spacing w:after="0" w:line="109"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Pursuant to the requirements of the Securites Exchange Act of 1934, the registrant has duly caused this report to be signed on its behalf by the undersigned hereunto duly authorized.</w:t>
      </w:r>
    </w:p>
    <w:p>
      <w:pPr>
        <w:spacing w:after="0" w:line="258" w:lineRule="exact"/>
        <w:rPr>
          <w:sz w:val="20"/>
          <w:szCs w:val="20"/>
          <w:color w:val="auto"/>
        </w:rPr>
      </w:pPr>
    </w:p>
    <w:p>
      <w:pPr>
        <w:ind w:left="5460"/>
        <w:spacing w:after="0"/>
        <w:rPr>
          <w:sz w:val="20"/>
          <w:szCs w:val="20"/>
          <w:color w:val="auto"/>
        </w:rPr>
      </w:pPr>
      <w:r>
        <w:rPr>
          <w:rFonts w:ascii="Calibri" w:cs="Calibri" w:eastAsia="Calibri" w:hAnsi="Calibri"/>
          <w:sz w:val="22"/>
          <w:szCs w:val="22"/>
          <w:b w:val="1"/>
          <w:bCs w:val="1"/>
          <w:color w:val="auto"/>
        </w:rPr>
        <w:t>H&amp;R BLOCK, INC.</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3660" w:type="dxa"/>
            <w:vAlign w:val="bottom"/>
          </w:tcPr>
          <w:p>
            <w:pPr>
              <w:spacing w:after="0"/>
              <w:rPr>
                <w:sz w:val="20"/>
                <w:szCs w:val="20"/>
                <w:color w:val="auto"/>
              </w:rPr>
            </w:pPr>
            <w:r>
              <w:rPr>
                <w:rFonts w:ascii="Calibri" w:cs="Calibri" w:eastAsia="Calibri" w:hAnsi="Calibri"/>
                <w:sz w:val="22"/>
                <w:szCs w:val="22"/>
                <w:color w:val="auto"/>
              </w:rPr>
              <w:t>Date:   November 1, 2022</w:t>
            </w:r>
          </w:p>
        </w:tc>
        <w:tc>
          <w:tcPr>
            <w:tcW w:w="7420" w:type="dxa"/>
            <w:vAlign w:val="bottom"/>
            <w:gridSpan w:val="2"/>
          </w:tcPr>
          <w:p>
            <w:pPr>
              <w:ind w:left="1280"/>
              <w:spacing w:after="0"/>
              <w:rPr>
                <w:sz w:val="20"/>
                <w:szCs w:val="20"/>
                <w:color w:val="auto"/>
              </w:rPr>
            </w:pPr>
            <w:r>
              <w:rPr>
                <w:rFonts w:ascii="Calibri" w:cs="Calibri" w:eastAsia="Calibri" w:hAnsi="Calibri"/>
                <w:sz w:val="22"/>
                <w:szCs w:val="22"/>
                <w:color w:val="auto"/>
              </w:rPr>
              <w:t>By:   /s/ Katharine M. Haynes</w:t>
            </w:r>
          </w:p>
        </w:tc>
      </w:tr>
      <w:tr>
        <w:trPr>
          <w:trHeight w:val="27"/>
        </w:trPr>
        <w:tc>
          <w:tcPr>
            <w:tcW w:w="3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49"/>
        </w:trPr>
        <w:tc>
          <w:tcPr>
            <w:tcW w:w="36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60" w:type="dxa"/>
            <w:vAlign w:val="bottom"/>
          </w:tcPr>
          <w:p>
            <w:pPr>
              <w:ind w:left="20"/>
              <w:spacing w:after="0" w:line="249" w:lineRule="exact"/>
              <w:rPr>
                <w:sz w:val="20"/>
                <w:szCs w:val="20"/>
                <w:color w:val="auto"/>
              </w:rPr>
            </w:pPr>
            <w:r>
              <w:rPr>
                <w:rFonts w:ascii="Calibri" w:cs="Calibri" w:eastAsia="Calibri" w:hAnsi="Calibri"/>
                <w:sz w:val="22"/>
                <w:szCs w:val="22"/>
                <w:color w:val="auto"/>
              </w:rPr>
              <w:t>Katharine M. Haynes</w:t>
            </w:r>
          </w:p>
        </w:tc>
      </w:tr>
      <w:tr>
        <w:trPr>
          <w:trHeight w:val="258"/>
        </w:trPr>
        <w:tc>
          <w:tcPr>
            <w:tcW w:w="36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660" w:type="dxa"/>
            <w:vAlign w:val="bottom"/>
          </w:tcPr>
          <w:p>
            <w:pPr>
              <w:ind w:left="20"/>
              <w:spacing w:after="0" w:line="258" w:lineRule="exact"/>
              <w:rPr>
                <w:sz w:val="20"/>
                <w:szCs w:val="20"/>
                <w:color w:val="auto"/>
              </w:rPr>
            </w:pPr>
            <w:r>
              <w:rPr>
                <w:rFonts w:ascii="Calibri" w:cs="Calibri" w:eastAsia="Calibri" w:hAnsi="Calibri"/>
                <w:sz w:val="22"/>
                <w:szCs w:val="22"/>
                <w:color w:val="auto"/>
              </w:rPr>
              <w:t>Vice President and Secretary</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56895"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568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News Release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Immediate Release: November 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H&amp;R Block Reports Fiscal 2023 First Quarter Results; Reaffirms Full Year Outlook</w:t>
      </w:r>
    </w:p>
    <w:p>
      <w:pPr>
        <w:spacing w:after="0" w:line="112"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20"/>
          <w:szCs w:val="20"/>
          <w:color w:val="auto"/>
        </w:rPr>
        <w:t>KANSAS CITY, Mo. - H&amp;R Block, Inc. (NYSE: HRB) (the "Company") today released its financial results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for the fiscal 2023 first quarter ended September 30, 2022.</w:t>
      </w:r>
    </w:p>
    <w:p>
      <w:pPr>
        <w:spacing w:after="0" w:line="90"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Q1 performance met expectations, and extension conversions increased 5% over the prior year</w:t>
      </w:r>
    </w:p>
    <w:p>
      <w:pPr>
        <w:spacing w:after="0" w:line="107" w:lineRule="exact"/>
        <w:rPr>
          <w:rFonts w:ascii="Times New Roman" w:cs="Times New Roman" w:eastAsia="Times New Roman" w:hAnsi="Times New Roman"/>
          <w:sz w:val="20"/>
          <w:szCs w:val="20"/>
          <w:i w:val="1"/>
          <w:i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Company reiterates its previously given fiscal year 2023 outlook</w:t>
      </w:r>
    </w:p>
    <w:p>
      <w:pPr>
        <w:spacing w:after="0" w:line="121" w:lineRule="exact"/>
        <w:rPr>
          <w:rFonts w:ascii="Times New Roman" w:cs="Times New Roman" w:eastAsia="Times New Roman" w:hAnsi="Times New Roman"/>
          <w:sz w:val="20"/>
          <w:szCs w:val="20"/>
          <w:i w:val="1"/>
          <w:i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Repurchased </w:t>
      </w:r>
      <w:r>
        <w:rPr>
          <w:rFonts w:ascii="Times New Roman" w:cs="Times New Roman" w:eastAsia="Times New Roman" w:hAnsi="Times New Roman"/>
          <w:sz w:val="17"/>
          <w:szCs w:val="17"/>
          <w:i w:val="1"/>
          <w:iCs w:val="1"/>
          <w:color w:val="auto"/>
        </w:rPr>
        <w:t>$219.8 million</w:t>
      </w:r>
      <w:r>
        <w:rPr>
          <w:rFonts w:ascii="Times New Roman" w:cs="Times New Roman" w:eastAsia="Times New Roman" w:hAnsi="Times New Roman"/>
          <w:sz w:val="20"/>
          <w:szCs w:val="20"/>
          <w:i w:val="1"/>
          <w:iCs w:val="1"/>
          <w:color w:val="auto"/>
        </w:rPr>
        <w:t xml:space="preserve"> of shares, retiring another 3% of shares outstanding</w:t>
      </w:r>
    </w:p>
    <w:p>
      <w:pPr>
        <w:spacing w:after="0" w:line="107" w:lineRule="exact"/>
        <w:rPr>
          <w:rFonts w:ascii="Times New Roman" w:cs="Times New Roman" w:eastAsia="Times New Roman" w:hAnsi="Times New Roman"/>
          <w:sz w:val="20"/>
          <w:szCs w:val="20"/>
          <w:i w:val="1"/>
          <w:iCs w:val="1"/>
          <w:color w:val="auto"/>
        </w:rPr>
      </w:pPr>
    </w:p>
    <w:p>
      <w:pPr>
        <w:ind w:left="340" w:right="40" w:hanging="332"/>
        <w:spacing w:after="0" w:line="287" w:lineRule="auto"/>
        <w:tabs>
          <w:tab w:leader="none" w:pos="32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Block Advisors launched a new self-serve business formation product for clients that streamlines the complicated process of registering a business entity</w:t>
      </w:r>
    </w:p>
    <w:p>
      <w:pPr>
        <w:spacing w:after="0" w:line="4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"In fiscal year 2023 we are focused on building upon the momentum we have driven over the last couple years, and we are off to a good start," said Jeff Jones, H&amp;R Block's president and chief executive officer. "We did well converting extensions, and we saw ongoing, healthy adoption of virtual tools. Overall, I am pleased with our results and am looking forward to the rest of the year."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2023 First Quarter Results and Key Financial Metrics</w:t>
      </w:r>
    </w:p>
    <w:p>
      <w:pPr>
        <w:spacing w:after="0" w:line="1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"While the first quarter is a relatively small portion of our fiscal year, results were in line with expectations and we continued to drive value for shareholders through our capital allocation practice," said Tony Bowen, H&amp;R Block's chief financial officer. "We continued to execute share repurchase, buying back another 3% of shares outstanding in the quarter, and are reaffirming our outlook that includes topline growth, EBITDA that outpaces revenue, and EPS that grows even faster."</w:t>
      </w:r>
    </w:p>
    <w:p>
      <w:pPr>
        <w:spacing w:after="0" w:line="64" w:lineRule="exact"/>
        <w:rPr>
          <w:sz w:val="20"/>
          <w:szCs w:val="20"/>
          <w:color w:val="auto"/>
        </w:rPr>
      </w:pPr>
    </w:p>
    <w:p>
      <w:pPr>
        <w:ind w:left="340" w:right="120" w:hanging="332"/>
        <w:spacing w:after="0" w:line="257"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$180.0 million decreased by $12.6 million, or 7%, to the prior year. The decrease was due to the Advanced Child Tax Credit being loaded onto Emerald Cards last year, causing a $16.6 million impact in the quarter. The Company also expects there to be a similar impact in the second quarter. As a reminder, the Child Tax Credit was contemplated in the Company's FY23 outlook. Additionally, the Company had a $4 million negative impact from foreign exchange in its Australian and Canadian businesses. These declines were partially offset by growth at Wave, and an increase in net average charge in the Company's Assisted business.</w:t>
      </w:r>
    </w:p>
    <w:p>
      <w:pPr>
        <w:spacing w:after="0" w:line="64" w:lineRule="exact"/>
        <w:rPr>
          <w:rFonts w:ascii="Times New Roman" w:cs="Times New Roman" w:eastAsia="Times New Roman" w:hAnsi="Times New Roman"/>
          <w:sz w:val="20"/>
          <w:szCs w:val="20"/>
          <w:color w:val="auto"/>
        </w:rPr>
      </w:pPr>
    </w:p>
    <w:p>
      <w:pPr>
        <w:ind w:left="340" w:right="440" w:hanging="332"/>
        <w:spacing w:after="0" w:line="283"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operating expenses of $389.1 million increased by $21.7 million, or 6%, primarily due to higher compensation and technology related expenses, partially offset by lower consulting and outsourced services.</w:t>
      </w:r>
    </w:p>
    <w:p>
      <w:pPr>
        <w:spacing w:after="0" w:line="5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Pretax loss increased by $24.0 million to $221.3 million.</w:t>
      </w:r>
    </w:p>
    <w:p>
      <w:pPr>
        <w:spacing w:after="0" w:line="134" w:lineRule="exact"/>
        <w:rPr>
          <w:rFonts w:ascii="Times New Roman" w:cs="Times New Roman" w:eastAsia="Times New Roman" w:hAnsi="Times New Roman"/>
          <w:sz w:val="20"/>
          <w:szCs w:val="20"/>
          <w:color w:val="auto"/>
        </w:rPr>
      </w:pPr>
    </w:p>
    <w:p>
      <w:pPr>
        <w:ind w:left="340" w:right="380" w:hanging="332"/>
        <w:spacing w:after="0" w:line="232" w:lineRule="auto"/>
        <w:tabs>
          <w:tab w:leader="none" w:pos="33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Loss per share from continuing operations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increased from $(0.84) to $(1.05) and adjusted loss per share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from continuing operations increased from $(0.78) to $(0.99), primarily due to the larger operating loss and fewer shares outstanding.</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w:t>
      </w:r>
      <w:r>
        <w:rPr>
          <w:rFonts w:ascii="Times New Roman" w:cs="Times New Roman" w:eastAsia="Times New Roman" w:hAnsi="Times New Roman"/>
          <w:sz w:val="10"/>
          <w:szCs w:val="10"/>
          <w:color w:val="auto"/>
        </w:rPr>
        <w:t>All amounts in this release are unaudited. Unless otherwise noted, all comparisons refer to the current period compared to the corresponding prior year period.</w:t>
      </w:r>
    </w:p>
    <w:p>
      <w:pPr>
        <w:spacing w:after="0" w:line="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7"/>
          <w:szCs w:val="7"/>
          <w:color w:val="auto"/>
        </w:rPr>
        <w:t>2</w:t>
      </w:r>
      <w:r>
        <w:rPr>
          <w:rFonts w:ascii="Times New Roman" w:cs="Times New Roman" w:eastAsia="Times New Roman" w:hAnsi="Times New Roman"/>
          <w:sz w:val="10"/>
          <w:szCs w:val="10"/>
          <w:color w:val="auto"/>
        </w:rPr>
        <w:t>All per share amounts are based on fully diluted shares at the end of the corresponding period. The company reports non-GAAP financial measures of performance, including adjusted earnings per share (EPS), earnings before interest, tax, depreciation, and</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0"/>
          <w:szCs w:val="10"/>
          <w:color w:val="auto"/>
        </w:rPr>
        <w:t>amortization (EBITDA) from continuing operations, and free cash flow, which it considers to be useful metrics for management and investors to evaluate and compare the ongoing operating performance of the company. See "About Non-GAAP Financial Information" below for more information regarding financial measures not prepared in accordance with generally accepted accounting principles (GAAP).</w:t>
      </w:r>
    </w:p>
    <w:p>
      <w:pPr>
        <w:sectPr>
          <w:pgSz w:w="11900" w:h="16838" w:orient="portrait"/>
          <w:cols w:equalWidth="0" w:num="1">
            <w:col w:w="11240"/>
          </w:cols>
          <w:pgMar w:left="320" w:top="1440" w:right="339" w:bottom="1440" w:gutter="0" w:footer="0" w:header="0"/>
        </w:sectPr>
      </w:pPr>
    </w:p>
    <w:bookmarkStart w:id="4" w:name="page5"/>
    <w:bookmarkEnd w:id="4"/>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Structure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reported the following related to its capital structure:</w:t>
      </w:r>
    </w:p>
    <w:p>
      <w:pPr>
        <w:spacing w:after="0" w:line="108" w:lineRule="exact"/>
        <w:rPr>
          <w:sz w:val="20"/>
          <w:szCs w:val="20"/>
          <w:color w:val="auto"/>
        </w:rPr>
      </w:pPr>
    </w:p>
    <w:p>
      <w:pPr>
        <w:ind w:left="340" w:right="220" w:hanging="332"/>
        <w:spacing w:after="0" w:line="28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Repurchased and retired 4.9 million shares at an aggregate price of $219.8 million in the first quarter. The Company has approximately $1 billion remaining on its latest $1.25 billion authorization which is available through fiscal year 2025.</w:t>
      </w:r>
    </w:p>
    <w:p>
      <w:pPr>
        <w:spacing w:after="0" w:line="38" w:lineRule="exact"/>
        <w:rPr>
          <w:rFonts w:ascii="Times New Roman" w:cs="Times New Roman" w:eastAsia="Times New Roman" w:hAnsi="Times New Roman"/>
          <w:sz w:val="20"/>
          <w:szCs w:val="20"/>
          <w:color w:val="auto"/>
        </w:rPr>
      </w:pPr>
    </w:p>
    <w:p>
      <w:pPr>
        <w:ind w:left="340" w:right="560" w:hanging="332"/>
        <w:spacing w:after="0" w:line="28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previously announced, a quarterly cash dividend of $0.29 per share was paid on October 3, 2022 to shareholders of record as of September 8, 2022. H&amp;R Block has paid quarterly dividends consecutively since the Company became public in 1962.</w:t>
      </w:r>
    </w:p>
    <w:p>
      <w:pPr>
        <w:spacing w:after="0" w:line="52"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Since 2016, the Company has returned nearly $3 billion to shareholders in the form of share repurchases and dividends, buying back approximately one third of its shares outstanding.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2023 Outlook Reaffirmed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continues to expect:</w:t>
      </w:r>
    </w:p>
    <w:p>
      <w:pPr>
        <w:spacing w:after="0" w:line="12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to be in the range of $3.535 to $3.585 billion</w:t>
      </w:r>
    </w:p>
    <w:p>
      <w:pPr>
        <w:spacing w:after="0" w:line="136"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EBITDA</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to be in the range of $915 to $950 million</w:t>
      </w:r>
    </w:p>
    <w:p>
      <w:pPr>
        <w:spacing w:after="0" w:line="61" w:lineRule="exact"/>
        <w:rPr>
          <w:rFonts w:ascii="Arial" w:cs="Arial" w:eastAsia="Arial" w:hAnsi="Arial"/>
          <w:sz w:val="22"/>
          <w:szCs w:val="22"/>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tax rate to be approximately 22%</w:t>
      </w:r>
    </w:p>
    <w:p>
      <w:pPr>
        <w:spacing w:after="0" w:line="14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Adjusted Diluted Earnings Per Share</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to be in the range of $3.70 to $3.95</w:t>
      </w:r>
    </w:p>
    <w:p>
      <w:pPr>
        <w:spacing w:after="0" w:line="77" w:lineRule="exact"/>
        <w:rPr>
          <w:rFonts w:ascii="Arial" w:cs="Arial" w:eastAsia="Arial" w:hAnsi="Arial"/>
          <w:sz w:val="22"/>
          <w:szCs w:val="22"/>
          <w:color w:val="auto"/>
        </w:rPr>
      </w:pPr>
    </w:p>
    <w:p>
      <w:pPr>
        <w:ind w:left="320" w:hanging="312"/>
        <w:spacing w:after="0"/>
        <w:tabs>
          <w:tab w:leader="none" w:pos="3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Double-digit Adjusted Diluted Earnings Per Share</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growth annually through 2025</w:t>
      </w:r>
    </w:p>
    <w:p>
      <w:pPr>
        <w:spacing w:after="0" w:line="5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Times New Roman" w:cs="Times New Roman" w:eastAsia="Times New Roman" w:hAnsi="Times New Roman"/>
          <w:sz w:val="20"/>
          <w:szCs w:val="20"/>
          <w:b w:val="1"/>
          <w:bCs w:val="1"/>
          <w:color w:val="auto"/>
        </w:rPr>
        <w:t>Conference Call</w:t>
      </w:r>
    </w:p>
    <w:p>
      <w:pPr>
        <w:spacing w:after="0" w:line="12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9"/>
          <w:szCs w:val="19"/>
          <w:color w:val="auto"/>
        </w:rPr>
        <w:t>A conference call for analysts, institutional investors, and shareholders will be held at 4:30 p.m. Eastern time on Tuesday, November 1, 2022. During the conference call the company will discuss fiscal 2023 first quarter results, outlook, and give a general business update. To join live, participants must register at https://register.vevent.com/register/BId29b06427c0d4f5bbae0dbac2b064807. Once registered, the participant will receive a dial-in number and unique PIN to access the call. Please join approximately 5 minutes prior to the scheduled start time.</w:t>
      </w:r>
    </w:p>
    <w:p>
      <w:pPr>
        <w:spacing w:after="0" w:line="6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The call, along with a presentation for viewing, will also be webcast in a listen-only format for the media and public. The webcast can be accessed directly at https://edge.media-server.com/mmc/p/fa3vwp6h and will be available for replay 2 hours after the call is concluded and continuing for 90 days</w:t>
      </w:r>
      <w:r>
        <w:rPr>
          <w:rFonts w:ascii="Times New Roman" w:cs="Times New Roman" w:eastAsia="Times New Roman" w:hAnsi="Times New Roman"/>
          <w:sz w:val="17"/>
          <w:szCs w:val="17"/>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H&amp;R Block</w:t>
      </w:r>
    </w:p>
    <w:p>
      <w:pPr>
        <w:spacing w:after="0" w:line="11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H&amp;R Block, Inc. (NYSE: HRB) provides help and inspires confidence in its clients and communities everywhere through global tax preparation services, financial products, and small-business solutions. The company blends digital innovation with human expertise and care as it helps people get the best outcome at tax time and also be better with money using its mobile banking app, Spruce. Through Block Advisors and Wave, the company helps small-business owners thrive with innovative products like Wave Money, a mobile-first, small-business bank account and bookkeeping solution that manages bookkeeping automatically. For more information, visit H&amp;R Block News or follow @HRBlockNews on Twitter.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Non-GAAP Financial Information</w:t>
      </w:r>
    </w:p>
    <w:p>
      <w:pPr>
        <w:spacing w:after="0" w:line="112"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20"/>
          <w:szCs w:val="20"/>
          <w:color w:val="auto"/>
        </w:rPr>
        <w:t>This press release and the accompanying tables include non-GAAP financial information. For a description of these non-GAAP financial measures, including the reasons management uses each measure, and reconciliations of these non-GAAP financial measures to the most directly comparable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1"/>
          <w:szCs w:val="11"/>
          <w:color w:val="auto"/>
        </w:rPr>
        <w:t>Adjusted Diluted Earnings Per Share (EPS) and earnings before interest, tax, depreciation, and amortization (EBITDA) from continuing operations are non-GAAP financial measures. Future period non-GAAP outlook includes adjustments for items not</w:t>
      </w:r>
    </w:p>
    <w:p>
      <w:pPr>
        <w:spacing w:after="0" w:line="260" w:lineRule="auto"/>
        <w:rPr>
          <w:sz w:val="20"/>
          <w:szCs w:val="20"/>
          <w:color w:val="auto"/>
        </w:rPr>
      </w:pPr>
      <w:r>
        <w:rPr>
          <w:rFonts w:ascii="Times New Roman" w:cs="Times New Roman" w:eastAsia="Times New Roman" w:hAnsi="Times New Roman"/>
          <w:sz w:val="10"/>
          <w:szCs w:val="10"/>
          <w:color w:val="auto"/>
        </w:rPr>
        <w:t>indicative of our core operations, which may include, without limitation, items described in the below section titled “Non-GAAP Financial Information” and in the accompanying tables. Such adjustments may be affected by changes in ongoing assumptions and judgments, as well as nonrecurring, unusual, or unanticipated charges, expenses or gains, or other items that may not directly correlate to the underlying performance of our business operations. The exact amounts of these adjustments are not currently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determinable but may be significant. It is therefore not practicable to provide the comparable GAAP measures or reconcile this non-GAAP outlook to the most comparable GAAP measures.</w:t>
      </w:r>
    </w:p>
    <w:p>
      <w:pPr>
        <w:sectPr>
          <w:pgSz w:w="11900" w:h="16838" w:orient="portrait"/>
          <w:cols w:equalWidth="0" w:num="1">
            <w:col w:w="11240"/>
          </w:cols>
          <w:pgMar w:left="320" w:top="1440" w:right="339" w:bottom="1440" w:gutter="0" w:footer="0" w:header="0"/>
        </w:sectPr>
      </w:pPr>
    </w:p>
    <w:bookmarkStart w:id="5" w:name="page6"/>
    <w:bookmarkEnd w:id="5"/>
    <w:p>
      <w:pPr>
        <w:spacing w:after="0" w:line="81"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financial measures prepared in accordance with generally accepted accounting principles, please see the section of the accompanying tables titled "Non-GAAP Financial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securities laws.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or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products or services, or descriptions of assumptions underlying any of the above. They also include the expected impact of the coronavirus (COVID-19) pandemic, including, without limitation, the impact on economic and financial markets, the Company’s capital resources and financial condition, the expected use of proceeds under the Company’s revolving credit facility, future expenditures, potential regulatory actions, such as extensions of tax filing deadlines or other related relief, changes in consumer behaviors and modifications to the Company’s operations related thereto. 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 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and regulatory factors, many of which are beyond the Company's control, that are described in our Annual Report on Form 10-K for the fiscal year ended June 30, 2022 in the section entitled "Risk Factors" and additional factors we may describe from time to time in other filings with the Securities and Exchange Commission. You may get such filings for free at our website at https://investors.hrblock.com. In addition, factors that may cause the Company’s actual estimated effective tax rate to differ from estimates include the Company’s actual results from operations compared to current estimates, future discrete items, changes in interpretations and assumptions the Company has made, future actions of the Company, or increases in applicable tax rates in jurisdictions where the Company operates. You should understand that it is not possible to predict or identify all such factors and, consequently, you should not consider any such list to be a complete set of all potential risks or uncertainties.</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For Further Information</w:t>
      </w:r>
    </w:p>
    <w:p>
      <w:pPr>
        <w:sectPr>
          <w:pgSz w:w="11900" w:h="16838" w:orient="portrait"/>
          <w:cols w:equalWidth="0" w:num="1">
            <w:col w:w="11220"/>
          </w:cols>
          <w:pgMar w:left="320" w:top="1440" w:right="359" w:bottom="1440" w:gutter="0" w:footer="0" w:header="0"/>
        </w:sectPr>
      </w:pP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Media Relations: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Michaella Gallina, (816) 854-3022, michaella.gallina@hrblock.com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Jordyn Eskijian, (816) 854-5674, jordyn.eskijian@hrblock.com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Davied, (816) 854-5798, angela.davied@hrblock.com</w:t>
      </w:r>
    </w:p>
    <w:p>
      <w:pPr>
        <w:spacing w:after="0" w:line="200" w:lineRule="exact"/>
        <w:rPr>
          <w:sz w:val="20"/>
          <w:szCs w:val="20"/>
          <w:color w:val="auto"/>
        </w:rPr>
      </w:pPr>
    </w:p>
    <w:p>
      <w:pPr>
        <w:sectPr>
          <w:pgSz w:w="11900" w:h="16838" w:orient="portrait"/>
          <w:cols w:equalWidth="0" w:num="2">
            <w:col w:w="1860" w:space="720"/>
            <w:col w:w="8640"/>
          </w:cols>
          <w:pgMar w:left="320" w:top="1440" w:right="35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TABLES FOLLOW</w:t>
      </w:r>
    </w:p>
    <w:p>
      <w:pPr>
        <w:sectPr>
          <w:pgSz w:w="11900" w:h="16838" w:orient="portrait"/>
          <w:cols w:equalWidth="0" w:num="1">
            <w:col w:w="11220"/>
          </w:cols>
          <w:pgMar w:left="320" w:top="1440" w:right="35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5568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56895" cy="5486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1845945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20" w:type="dxa"/>
            <w:vAlign w:val="bottom"/>
          </w:tcPr>
          <w:p>
            <w:pPr>
              <w:ind w:left="20"/>
              <w:spacing w:after="0"/>
              <w:rPr>
                <w:sz w:val="20"/>
                <w:szCs w:val="20"/>
                <w:color w:val="auto"/>
              </w:rPr>
            </w:pPr>
            <w:r>
              <w:rPr>
                <w:rFonts w:ascii="Calibri" w:cs="Calibri" w:eastAsia="Calibri" w:hAnsi="Calibri"/>
                <w:sz w:val="18"/>
                <w:szCs w:val="18"/>
                <w:b w:val="1"/>
                <w:bCs w:val="1"/>
                <w:color w:val="auto"/>
              </w:rPr>
              <w:t>FINANCIAL RESULTS</w:t>
            </w:r>
          </w:p>
        </w:tc>
        <w:tc>
          <w:tcPr>
            <w:tcW w:w="400" w:type="dxa"/>
            <w:vAlign w:val="bottom"/>
          </w:tcPr>
          <w:p>
            <w:pPr>
              <w:spacing w:after="0"/>
              <w:rPr>
                <w:sz w:val="19"/>
                <w:szCs w:val="19"/>
                <w:color w:val="auto"/>
              </w:rPr>
            </w:pPr>
          </w:p>
        </w:tc>
        <w:tc>
          <w:tcPr>
            <w:tcW w:w="3440" w:type="dxa"/>
            <w:vAlign w:val="bottom"/>
            <w:gridSpan w:val="4"/>
          </w:tcPr>
          <w:p>
            <w:pPr>
              <w:jc w:val="right"/>
              <w:spacing w:after="0"/>
              <w:rPr>
                <w:sz w:val="20"/>
                <w:szCs w:val="20"/>
                <w:color w:val="auto"/>
              </w:rPr>
            </w:pPr>
            <w:r>
              <w:rPr>
                <w:rFonts w:ascii="Calibri" w:cs="Calibri" w:eastAsia="Calibri" w:hAnsi="Calibri"/>
                <w:sz w:val="14"/>
                <w:szCs w:val="14"/>
                <w:color w:val="auto"/>
              </w:rPr>
              <w:t>(unaudited, in 000s - except per share amounts)</w:t>
            </w:r>
          </w:p>
        </w:tc>
        <w:tc>
          <w:tcPr>
            <w:tcW w:w="0" w:type="dxa"/>
            <w:vAlign w:val="bottom"/>
          </w:tcPr>
          <w:p>
            <w:pPr>
              <w:spacing w:after="0"/>
              <w:rPr>
                <w:sz w:val="1"/>
                <w:szCs w:val="1"/>
                <w:color w:val="auto"/>
              </w:rPr>
            </w:pPr>
          </w:p>
        </w:tc>
      </w:tr>
      <w:tr>
        <w:trPr>
          <w:trHeight w:val="23"/>
        </w:trPr>
        <w:tc>
          <w:tcPr>
            <w:tcW w:w="7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420" w:type="dxa"/>
            <w:vAlign w:val="bottom"/>
            <w:tcBorders>
              <w:right w:val="single" w:sz="8" w:color="auto"/>
            </w:tcBorders>
          </w:tcPr>
          <w:p>
            <w:pPr>
              <w:spacing w:after="0"/>
              <w:rPr>
                <w:sz w:val="18"/>
                <w:szCs w:val="18"/>
                <w:color w:val="auto"/>
              </w:rPr>
            </w:pPr>
          </w:p>
        </w:tc>
        <w:tc>
          <w:tcPr>
            <w:tcW w:w="400" w:type="dxa"/>
            <w:vAlign w:val="bottom"/>
            <w:tcBorders>
              <w:bottom w:val="single" w:sz="8" w:color="99CC33"/>
            </w:tcBorders>
            <w:shd w:val="clear" w:color="auto" w:fill="99CC33"/>
          </w:tcPr>
          <w:p>
            <w:pPr>
              <w:spacing w:after="0"/>
              <w:rPr>
                <w:sz w:val="18"/>
                <w:szCs w:val="18"/>
                <w:color w:val="auto"/>
              </w:rPr>
            </w:pPr>
          </w:p>
        </w:tc>
        <w:tc>
          <w:tcPr>
            <w:tcW w:w="3440" w:type="dxa"/>
            <w:vAlign w:val="bottom"/>
            <w:tcBorders>
              <w:bottom w:val="single" w:sz="8" w:color="99CC33"/>
              <w:right w:val="single" w:sz="8" w:color="auto"/>
            </w:tcBorders>
            <w:gridSpan w:val="4"/>
            <w:shd w:val="clear" w:color="auto" w:fill="99CC33"/>
          </w:tcPr>
          <w:p>
            <w:pPr>
              <w:jc w:val="right"/>
              <w:ind w:right="679"/>
              <w:spacing w:after="0" w:line="187" w:lineRule="exact"/>
              <w:rPr>
                <w:sz w:val="20"/>
                <w:szCs w:val="20"/>
                <w:color w:val="auto"/>
              </w:rPr>
            </w:pPr>
            <w:r>
              <w:rPr>
                <w:rFonts w:ascii="Calibri" w:cs="Calibri" w:eastAsia="Calibri" w:hAnsi="Calibri"/>
                <w:sz w:val="16"/>
                <w:szCs w:val="16"/>
                <w:color w:val="auto"/>
              </w:rPr>
              <w:t>Three months ended September 30,</w:t>
            </w:r>
          </w:p>
        </w:tc>
        <w:tc>
          <w:tcPr>
            <w:tcW w:w="0" w:type="dxa"/>
            <w:vAlign w:val="bottom"/>
          </w:tcPr>
          <w:p>
            <w:pPr>
              <w:spacing w:after="0"/>
              <w:rPr>
                <w:sz w:val="1"/>
                <w:szCs w:val="1"/>
                <w:color w:val="auto"/>
              </w:rPr>
            </w:pPr>
          </w:p>
        </w:tc>
      </w:tr>
      <w:tr>
        <w:trPr>
          <w:trHeight w:val="215"/>
        </w:trPr>
        <w:tc>
          <w:tcPr>
            <w:tcW w:w="7420" w:type="dxa"/>
            <w:vAlign w:val="bottom"/>
            <w:tcBorders>
              <w:right w:val="single" w:sz="8" w:color="auto"/>
            </w:tcBorders>
          </w:tcPr>
          <w:p>
            <w:pPr>
              <w:spacing w:after="0"/>
              <w:rPr>
                <w:sz w:val="18"/>
                <w:szCs w:val="18"/>
                <w:color w:val="auto"/>
              </w:rPr>
            </w:pPr>
          </w:p>
        </w:tc>
        <w:tc>
          <w:tcPr>
            <w:tcW w:w="400" w:type="dxa"/>
            <w:vAlign w:val="bottom"/>
            <w:tcBorders>
              <w:top w:val="single" w:sz="8" w:color="auto"/>
              <w:bottom w:val="single" w:sz="8" w:color="99CC33"/>
            </w:tcBorders>
            <w:shd w:val="clear" w:color="auto" w:fill="99CC33"/>
          </w:tcPr>
          <w:p>
            <w:pPr>
              <w:spacing w:after="0"/>
              <w:rPr>
                <w:sz w:val="18"/>
                <w:szCs w:val="18"/>
                <w:color w:val="auto"/>
              </w:rPr>
            </w:pPr>
          </w:p>
        </w:tc>
        <w:tc>
          <w:tcPr>
            <w:tcW w:w="1460" w:type="dxa"/>
            <w:vAlign w:val="bottom"/>
            <w:tcBorders>
              <w:top w:val="single" w:sz="8" w:color="auto"/>
              <w:bottom w:val="single" w:sz="8" w:color="99CC33"/>
              <w:right w:val="single" w:sz="8" w:color="auto"/>
            </w:tcBorders>
            <w:shd w:val="clear" w:color="auto" w:fill="99CC33"/>
          </w:tcPr>
          <w:p>
            <w:pPr>
              <w:jc w:val="right"/>
              <w:ind w:right="699"/>
              <w:spacing w:after="0" w:line="187" w:lineRule="exact"/>
              <w:rPr>
                <w:sz w:val="20"/>
                <w:szCs w:val="20"/>
                <w:color w:val="auto"/>
              </w:rPr>
            </w:pPr>
            <w:r>
              <w:rPr>
                <w:rFonts w:ascii="Calibri" w:cs="Calibri" w:eastAsia="Calibri" w:hAnsi="Calibri"/>
                <w:sz w:val="16"/>
                <w:szCs w:val="16"/>
                <w:b w:val="1"/>
                <w:bCs w:val="1"/>
                <w:color w:val="auto"/>
              </w:rPr>
              <w:t>2022</w:t>
            </w:r>
          </w:p>
        </w:tc>
        <w:tc>
          <w:tcPr>
            <w:tcW w:w="12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bottom w:val="single" w:sz="8" w:color="99CC33"/>
            </w:tcBorders>
            <w:shd w:val="clear" w:color="auto" w:fill="99CC33"/>
          </w:tcPr>
          <w:p>
            <w:pPr>
              <w:spacing w:after="0"/>
              <w:rPr>
                <w:sz w:val="18"/>
                <w:szCs w:val="18"/>
                <w:color w:val="auto"/>
              </w:rPr>
            </w:pPr>
          </w:p>
        </w:tc>
        <w:tc>
          <w:tcPr>
            <w:tcW w:w="1440" w:type="dxa"/>
            <w:vAlign w:val="bottom"/>
            <w:tcBorders>
              <w:top w:val="single" w:sz="8" w:color="auto"/>
              <w:bottom w:val="single" w:sz="8" w:color="99CC33"/>
              <w:right w:val="single" w:sz="8" w:color="auto"/>
            </w:tcBorders>
            <w:shd w:val="clear" w:color="auto" w:fill="99CC33"/>
          </w:tcPr>
          <w:p>
            <w:pPr>
              <w:jc w:val="right"/>
              <w:ind w:right="699"/>
              <w:spacing w:after="0" w:line="187" w:lineRule="exact"/>
              <w:rPr>
                <w:sz w:val="20"/>
                <w:szCs w:val="20"/>
                <w:color w:val="auto"/>
              </w:rPr>
            </w:pPr>
            <w:r>
              <w:rPr>
                <w:rFonts w:ascii="Calibri" w:cs="Calibri" w:eastAsia="Calibri" w:hAnsi="Calibri"/>
                <w:sz w:val="16"/>
                <w:szCs w:val="16"/>
                <w:color w:val="auto"/>
              </w:rPr>
              <w:t>2021</w:t>
            </w:r>
          </w:p>
        </w:tc>
        <w:tc>
          <w:tcPr>
            <w:tcW w:w="0" w:type="dxa"/>
            <w:vAlign w:val="bottom"/>
          </w:tcPr>
          <w:p>
            <w:pPr>
              <w:spacing w:after="0"/>
              <w:rPr>
                <w:sz w:val="1"/>
                <w:szCs w:val="1"/>
                <w:color w:val="auto"/>
              </w:rPr>
            </w:pPr>
          </w:p>
        </w:tc>
      </w:tr>
      <w:tr>
        <w:trPr>
          <w:trHeight w:val="168"/>
        </w:trPr>
        <w:tc>
          <w:tcPr>
            <w:tcW w:w="7420" w:type="dxa"/>
            <w:vAlign w:val="bottom"/>
          </w:tcPr>
          <w:p>
            <w:pPr>
              <w:ind w:left="20"/>
              <w:spacing w:after="0" w:line="169" w:lineRule="exact"/>
              <w:rPr>
                <w:sz w:val="20"/>
                <w:szCs w:val="20"/>
                <w:color w:val="auto"/>
              </w:rPr>
            </w:pPr>
            <w:r>
              <w:rPr>
                <w:rFonts w:ascii="Calibri" w:cs="Calibri" w:eastAsia="Calibri" w:hAnsi="Calibri"/>
                <w:sz w:val="16"/>
                <w:szCs w:val="16"/>
                <w:b w:val="1"/>
                <w:bCs w:val="1"/>
                <w:color w:val="auto"/>
              </w:rPr>
              <w:t>REVENUES:</w:t>
            </w:r>
          </w:p>
        </w:tc>
        <w:tc>
          <w:tcPr>
            <w:tcW w:w="4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40"/>
              <w:spacing w:after="0"/>
              <w:rPr>
                <w:sz w:val="20"/>
                <w:szCs w:val="20"/>
                <w:color w:val="auto"/>
              </w:rPr>
            </w:pPr>
            <w:r>
              <w:rPr>
                <w:rFonts w:ascii="Calibri" w:cs="Calibri" w:eastAsia="Calibri" w:hAnsi="Calibri"/>
                <w:sz w:val="16"/>
                <w:szCs w:val="16"/>
                <w:color w:val="auto"/>
              </w:rPr>
              <w:t>U.S. tax preparaton and related services:</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260"/>
              <w:spacing w:after="0"/>
              <w:rPr>
                <w:sz w:val="20"/>
                <w:szCs w:val="20"/>
                <w:color w:val="auto"/>
              </w:rPr>
            </w:pPr>
            <w:r>
              <w:rPr>
                <w:rFonts w:ascii="Calibri" w:cs="Calibri" w:eastAsia="Calibri" w:hAnsi="Calibri"/>
                <w:sz w:val="16"/>
                <w:szCs w:val="16"/>
                <w:color w:val="auto"/>
              </w:rPr>
              <w:t>Assisted tax preparaton</w:t>
            </w:r>
          </w:p>
        </w:tc>
        <w:tc>
          <w:tcPr>
            <w:tcW w:w="400" w:type="dxa"/>
            <w:vAlign w:val="bottom"/>
          </w:tcPr>
          <w:p>
            <w:pPr>
              <w:jc w:val="right"/>
              <w:ind w:right="239"/>
              <w:spacing w:after="0"/>
              <w:rPr>
                <w:sz w:val="20"/>
                <w:szCs w:val="20"/>
                <w:color w:val="auto"/>
              </w:rPr>
            </w:pPr>
            <w:r>
              <w:rPr>
                <w:rFonts w:ascii="Calibri" w:cs="Calibri" w:eastAsia="Calibri" w:hAnsi="Calibri"/>
                <w:sz w:val="16"/>
                <w:szCs w:val="16"/>
                <w:b w:val="1"/>
                <w:bCs w:val="1"/>
                <w:color w:val="auto"/>
                <w:w w:val="73"/>
              </w:rPr>
              <w:t>$</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36,312</w:t>
            </w:r>
          </w:p>
        </w:tc>
        <w:tc>
          <w:tcPr>
            <w:tcW w:w="540" w:type="dxa"/>
            <w:vAlign w:val="bottom"/>
            <w:gridSpan w:val="2"/>
          </w:tcPr>
          <w:p>
            <w:pPr>
              <w:jc w:val="right"/>
              <w:ind w:right="25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33,607</w:t>
            </w:r>
          </w:p>
        </w:tc>
        <w:tc>
          <w:tcPr>
            <w:tcW w:w="0" w:type="dxa"/>
            <w:vAlign w:val="bottom"/>
          </w:tcPr>
          <w:p>
            <w:pPr>
              <w:spacing w:after="0"/>
              <w:rPr>
                <w:sz w:val="1"/>
                <w:szCs w:val="1"/>
                <w:color w:val="auto"/>
              </w:rPr>
            </w:pPr>
          </w:p>
        </w:tc>
      </w:tr>
      <w:tr>
        <w:trPr>
          <w:trHeight w:val="216"/>
        </w:trPr>
        <w:tc>
          <w:tcPr>
            <w:tcW w:w="7420" w:type="dxa"/>
            <w:vAlign w:val="bottom"/>
          </w:tcPr>
          <w:p>
            <w:pPr>
              <w:ind w:left="260"/>
              <w:spacing w:after="0"/>
              <w:rPr>
                <w:sz w:val="20"/>
                <w:szCs w:val="20"/>
                <w:color w:val="auto"/>
              </w:rPr>
            </w:pPr>
            <w:r>
              <w:rPr>
                <w:rFonts w:ascii="Calibri" w:cs="Calibri" w:eastAsia="Calibri" w:hAnsi="Calibri"/>
                <w:sz w:val="16"/>
                <w:szCs w:val="16"/>
                <w:color w:val="auto"/>
              </w:rPr>
              <w:t>Royaltes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6,228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7,358</w:t>
            </w:r>
          </w:p>
        </w:tc>
        <w:tc>
          <w:tcPr>
            <w:tcW w:w="0" w:type="dxa"/>
            <w:vAlign w:val="bottom"/>
          </w:tcPr>
          <w:p>
            <w:pPr>
              <w:spacing w:after="0"/>
              <w:rPr>
                <w:sz w:val="1"/>
                <w:szCs w:val="1"/>
                <w:color w:val="auto"/>
              </w:rPr>
            </w:pPr>
          </w:p>
        </w:tc>
      </w:tr>
      <w:tr>
        <w:trPr>
          <w:trHeight w:val="216"/>
        </w:trPr>
        <w:tc>
          <w:tcPr>
            <w:tcW w:w="7420" w:type="dxa"/>
            <w:vAlign w:val="bottom"/>
          </w:tcPr>
          <w:p>
            <w:pPr>
              <w:ind w:left="260"/>
              <w:spacing w:after="0"/>
              <w:rPr>
                <w:sz w:val="20"/>
                <w:szCs w:val="20"/>
                <w:color w:val="auto"/>
              </w:rPr>
            </w:pPr>
            <w:r>
              <w:rPr>
                <w:rFonts w:ascii="Calibri" w:cs="Calibri" w:eastAsia="Calibri" w:hAnsi="Calibri"/>
                <w:sz w:val="16"/>
                <w:szCs w:val="16"/>
                <w:color w:val="auto"/>
              </w:rPr>
              <w:t>DIY tax preparaton</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3,158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4,061</w:t>
            </w:r>
          </w:p>
        </w:tc>
        <w:tc>
          <w:tcPr>
            <w:tcW w:w="0" w:type="dxa"/>
            <w:vAlign w:val="bottom"/>
          </w:tcPr>
          <w:p>
            <w:pPr>
              <w:spacing w:after="0"/>
              <w:rPr>
                <w:sz w:val="1"/>
                <w:szCs w:val="1"/>
                <w:color w:val="auto"/>
              </w:rPr>
            </w:pPr>
          </w:p>
        </w:tc>
      </w:tr>
      <w:tr>
        <w:trPr>
          <w:trHeight w:val="216"/>
        </w:trPr>
        <w:tc>
          <w:tcPr>
            <w:tcW w:w="7420" w:type="dxa"/>
            <w:vAlign w:val="bottom"/>
          </w:tcPr>
          <w:p>
            <w:pPr>
              <w:ind w:left="260"/>
              <w:spacing w:after="0"/>
              <w:rPr>
                <w:sz w:val="20"/>
                <w:szCs w:val="20"/>
                <w:color w:val="auto"/>
              </w:rPr>
            </w:pPr>
            <w:r>
              <w:rPr>
                <w:rFonts w:ascii="Calibri" w:cs="Calibri" w:eastAsia="Calibri" w:hAnsi="Calibri"/>
                <w:sz w:val="16"/>
                <w:szCs w:val="16"/>
                <w:color w:val="auto"/>
              </w:rPr>
              <w:t>Refund Transfers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1,284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1,665</w:t>
            </w:r>
          </w:p>
        </w:tc>
        <w:tc>
          <w:tcPr>
            <w:tcW w:w="0" w:type="dxa"/>
            <w:vAlign w:val="bottom"/>
          </w:tcPr>
          <w:p>
            <w:pPr>
              <w:spacing w:after="0"/>
              <w:rPr>
                <w:sz w:val="1"/>
                <w:szCs w:val="1"/>
                <w:color w:val="auto"/>
              </w:rPr>
            </w:pPr>
          </w:p>
        </w:tc>
      </w:tr>
      <w:tr>
        <w:trPr>
          <w:trHeight w:val="216"/>
        </w:trPr>
        <w:tc>
          <w:tcPr>
            <w:tcW w:w="7420" w:type="dxa"/>
            <w:vAlign w:val="bottom"/>
          </w:tcPr>
          <w:p>
            <w:pPr>
              <w:ind w:left="260"/>
              <w:spacing w:after="0"/>
              <w:rPr>
                <w:sz w:val="20"/>
                <w:szCs w:val="20"/>
                <w:color w:val="auto"/>
              </w:rPr>
            </w:pPr>
            <w:r>
              <w:rPr>
                <w:rFonts w:ascii="Calibri" w:cs="Calibri" w:eastAsia="Calibri" w:hAnsi="Calibri"/>
                <w:sz w:val="16"/>
                <w:szCs w:val="16"/>
                <w:color w:val="auto"/>
              </w:rPr>
              <w:t>Peace of Mind® Extended Service Plan</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24,770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24,836</w:t>
            </w:r>
          </w:p>
        </w:tc>
        <w:tc>
          <w:tcPr>
            <w:tcW w:w="0" w:type="dxa"/>
            <w:vAlign w:val="bottom"/>
          </w:tcPr>
          <w:p>
            <w:pPr>
              <w:spacing w:after="0"/>
              <w:rPr>
                <w:sz w:val="1"/>
                <w:szCs w:val="1"/>
                <w:color w:val="auto"/>
              </w:rPr>
            </w:pPr>
          </w:p>
        </w:tc>
      </w:tr>
      <w:tr>
        <w:trPr>
          <w:trHeight w:val="216"/>
        </w:trPr>
        <w:tc>
          <w:tcPr>
            <w:tcW w:w="7420" w:type="dxa"/>
            <w:vAlign w:val="bottom"/>
          </w:tcPr>
          <w:p>
            <w:pPr>
              <w:ind w:left="260"/>
              <w:spacing w:after="0"/>
              <w:rPr>
                <w:sz w:val="20"/>
                <w:szCs w:val="20"/>
                <w:color w:val="auto"/>
              </w:rPr>
            </w:pPr>
            <w:r>
              <w:rPr>
                <w:rFonts w:ascii="Calibri" w:cs="Calibri" w:eastAsia="Calibri" w:hAnsi="Calibri"/>
                <w:sz w:val="16"/>
                <w:szCs w:val="16"/>
                <w:color w:val="auto"/>
              </w:rPr>
              <w:t>Tax Identty Shield®</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5,167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5,153</w:t>
            </w:r>
          </w:p>
        </w:tc>
        <w:tc>
          <w:tcPr>
            <w:tcW w:w="0" w:type="dxa"/>
            <w:vAlign w:val="bottom"/>
          </w:tcPr>
          <w:p>
            <w:pPr>
              <w:spacing w:after="0"/>
              <w:rPr>
                <w:sz w:val="1"/>
                <w:szCs w:val="1"/>
                <w:color w:val="auto"/>
              </w:rPr>
            </w:pPr>
          </w:p>
        </w:tc>
      </w:tr>
      <w:tr>
        <w:trPr>
          <w:trHeight w:val="216"/>
        </w:trPr>
        <w:tc>
          <w:tcPr>
            <w:tcW w:w="7420" w:type="dxa"/>
            <w:vAlign w:val="bottom"/>
          </w:tcPr>
          <w:p>
            <w:pPr>
              <w:ind w:left="260"/>
              <w:spacing w:after="0"/>
              <w:rPr>
                <w:sz w:val="20"/>
                <w:szCs w:val="20"/>
                <w:color w:val="auto"/>
              </w:rPr>
            </w:pPr>
            <w:r>
              <w:rPr>
                <w:rFonts w:ascii="Calibri" w:cs="Calibri" w:eastAsia="Calibri" w:hAnsi="Calibri"/>
                <w:sz w:val="16"/>
                <w:szCs w:val="16"/>
                <w:color w:val="auto"/>
              </w:rPr>
              <w:t>Other</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9,360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9,745</w:t>
            </w:r>
          </w:p>
        </w:tc>
        <w:tc>
          <w:tcPr>
            <w:tcW w:w="0" w:type="dxa"/>
            <w:vAlign w:val="bottom"/>
          </w:tcPr>
          <w:p>
            <w:pPr>
              <w:spacing w:after="0"/>
              <w:rPr>
                <w:sz w:val="1"/>
                <w:szCs w:val="1"/>
                <w:color w:val="auto"/>
              </w:rPr>
            </w:pPr>
          </w:p>
        </w:tc>
      </w:tr>
      <w:tr>
        <w:trPr>
          <w:trHeight w:val="28"/>
        </w:trPr>
        <w:tc>
          <w:tcPr>
            <w:tcW w:w="7420" w:type="dxa"/>
            <w:vAlign w:val="bottom"/>
            <w:vMerge w:val="restart"/>
          </w:tcPr>
          <w:p>
            <w:pPr>
              <w:ind w:left="320"/>
              <w:spacing w:after="0"/>
              <w:rPr>
                <w:sz w:val="20"/>
                <w:szCs w:val="20"/>
                <w:color w:val="auto"/>
              </w:rPr>
            </w:pPr>
            <w:r>
              <w:rPr>
                <w:rFonts w:ascii="Calibri" w:cs="Calibri" w:eastAsia="Calibri" w:hAnsi="Calibri"/>
                <w:sz w:val="16"/>
                <w:szCs w:val="16"/>
                <w:color w:val="auto"/>
              </w:rPr>
              <w:t>Total U.S. tax preparaton and related services:</w:t>
            </w: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4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86,279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7" w:lineRule="exact"/>
              <w:rPr>
                <w:sz w:val="20"/>
                <w:szCs w:val="20"/>
                <w:color w:val="auto"/>
              </w:rPr>
            </w:pPr>
            <w:r>
              <w:rPr>
                <w:rFonts w:ascii="Calibri" w:cs="Calibri" w:eastAsia="Calibri" w:hAnsi="Calibri"/>
                <w:sz w:val="16"/>
                <w:szCs w:val="16"/>
                <w:color w:val="auto"/>
              </w:rPr>
              <w:t>86,425</w:t>
            </w:r>
          </w:p>
        </w:tc>
        <w:tc>
          <w:tcPr>
            <w:tcW w:w="0" w:type="dxa"/>
            <w:vAlign w:val="bottom"/>
          </w:tcPr>
          <w:p>
            <w:pPr>
              <w:spacing w:after="0"/>
              <w:rPr>
                <w:sz w:val="1"/>
                <w:szCs w:val="1"/>
                <w:color w:val="auto"/>
              </w:rPr>
            </w:pPr>
          </w:p>
        </w:tc>
      </w:tr>
      <w:tr>
        <w:trPr>
          <w:trHeight w:val="211"/>
        </w:trPr>
        <w:tc>
          <w:tcPr>
            <w:tcW w:w="7420" w:type="dxa"/>
            <w:vAlign w:val="bottom"/>
          </w:tcPr>
          <w:p>
            <w:pPr>
              <w:ind w:left="140"/>
              <w:spacing w:after="0"/>
              <w:rPr>
                <w:sz w:val="20"/>
                <w:szCs w:val="20"/>
                <w:color w:val="auto"/>
              </w:rPr>
            </w:pPr>
            <w:r>
              <w:rPr>
                <w:rFonts w:ascii="Calibri" w:cs="Calibri" w:eastAsia="Calibri" w:hAnsi="Calibri"/>
                <w:sz w:val="16"/>
                <w:szCs w:val="16"/>
                <w:color w:val="auto"/>
              </w:rPr>
              <w:t>Financial services:</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20" w:type="dxa"/>
            <w:vAlign w:val="bottom"/>
          </w:tcPr>
          <w:p>
            <w:pPr>
              <w:ind w:left="260"/>
              <w:spacing w:after="0" w:line="226" w:lineRule="exact"/>
              <w:rPr>
                <w:sz w:val="20"/>
                <w:szCs w:val="20"/>
                <w:color w:val="auto"/>
              </w:rPr>
            </w:pPr>
            <w:r>
              <w:rPr>
                <w:rFonts w:ascii="Calibri" w:cs="Calibri" w:eastAsia="Calibri" w:hAnsi="Calibri"/>
                <w:sz w:val="16"/>
                <w:szCs w:val="16"/>
                <w:color w:val="auto"/>
              </w:rPr>
              <w:t>Emerald Card® and Spruce</w:t>
            </w:r>
            <w:r>
              <w:rPr>
                <w:rFonts w:ascii="Calibri" w:cs="Calibri" w:eastAsia="Calibri" w:hAnsi="Calibri"/>
                <w:sz w:val="21"/>
                <w:szCs w:val="21"/>
                <w:color w:val="auto"/>
                <w:vertAlign w:val="superscript"/>
              </w:rPr>
              <w:t>SM</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11,612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28,258</w:t>
            </w:r>
          </w:p>
        </w:tc>
        <w:tc>
          <w:tcPr>
            <w:tcW w:w="0" w:type="dxa"/>
            <w:vAlign w:val="bottom"/>
          </w:tcPr>
          <w:p>
            <w:pPr>
              <w:spacing w:after="0"/>
              <w:rPr>
                <w:sz w:val="1"/>
                <w:szCs w:val="1"/>
                <w:color w:val="auto"/>
              </w:rPr>
            </w:pPr>
          </w:p>
        </w:tc>
      </w:tr>
      <w:tr>
        <w:trPr>
          <w:trHeight w:val="234"/>
        </w:trPr>
        <w:tc>
          <w:tcPr>
            <w:tcW w:w="7420" w:type="dxa"/>
            <w:vAlign w:val="bottom"/>
          </w:tcPr>
          <w:p>
            <w:pPr>
              <w:ind w:left="260"/>
              <w:spacing w:after="0" w:line="234" w:lineRule="exact"/>
              <w:rPr>
                <w:sz w:val="20"/>
                <w:szCs w:val="20"/>
                <w:color w:val="auto"/>
              </w:rPr>
            </w:pPr>
            <w:r>
              <w:rPr>
                <w:rFonts w:ascii="Calibri" w:cs="Calibri" w:eastAsia="Calibri" w:hAnsi="Calibri"/>
                <w:sz w:val="16"/>
                <w:szCs w:val="16"/>
                <w:color w:val="auto"/>
              </w:rPr>
              <w:t>Interest and fee income on Emerald Advance</w:t>
            </w:r>
            <w:r>
              <w:rPr>
                <w:rFonts w:ascii="Calibri" w:cs="Calibri" w:eastAsia="Calibri" w:hAnsi="Calibri"/>
                <w:sz w:val="21"/>
                <w:szCs w:val="21"/>
                <w:color w:val="auto"/>
                <w:vertAlign w:val="superscript"/>
              </w:rPr>
              <w:t>SM</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b w:val="1"/>
                <w:bCs w:val="1"/>
                <w:color w:val="auto"/>
              </w:rPr>
              <w:t>614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479</w:t>
            </w:r>
          </w:p>
        </w:tc>
        <w:tc>
          <w:tcPr>
            <w:tcW w:w="0" w:type="dxa"/>
            <w:vAlign w:val="bottom"/>
          </w:tcPr>
          <w:p>
            <w:pPr>
              <w:spacing w:after="0"/>
              <w:rPr>
                <w:sz w:val="1"/>
                <w:szCs w:val="1"/>
                <w:color w:val="auto"/>
              </w:rPr>
            </w:pPr>
          </w:p>
        </w:tc>
      </w:tr>
      <w:tr>
        <w:trPr>
          <w:trHeight w:val="187"/>
        </w:trPr>
        <w:tc>
          <w:tcPr>
            <w:tcW w:w="7420" w:type="dxa"/>
            <w:vAlign w:val="bottom"/>
          </w:tcPr>
          <w:p>
            <w:pPr>
              <w:ind w:left="320"/>
              <w:spacing w:after="0" w:line="182" w:lineRule="exact"/>
              <w:rPr>
                <w:sz w:val="20"/>
                <w:szCs w:val="20"/>
                <w:color w:val="auto"/>
              </w:rPr>
            </w:pPr>
            <w:r>
              <w:rPr>
                <w:rFonts w:ascii="Calibri" w:cs="Calibri" w:eastAsia="Calibri" w:hAnsi="Calibri"/>
                <w:sz w:val="16"/>
                <w:szCs w:val="16"/>
                <w:color w:val="auto"/>
              </w:rPr>
              <w:t>Total fnancial services</w:t>
            </w:r>
          </w:p>
        </w:tc>
        <w:tc>
          <w:tcPr>
            <w:tcW w:w="400" w:type="dxa"/>
            <w:vAlign w:val="bottom"/>
          </w:tcPr>
          <w:p>
            <w:pPr>
              <w:spacing w:after="0"/>
              <w:rPr>
                <w:sz w:val="16"/>
                <w:szCs w:val="16"/>
                <w:color w:val="auto"/>
              </w:rPr>
            </w:pPr>
          </w:p>
        </w:tc>
        <w:tc>
          <w:tcPr>
            <w:tcW w:w="14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12,226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7" w:lineRule="exact"/>
              <w:rPr>
                <w:sz w:val="20"/>
                <w:szCs w:val="20"/>
                <w:color w:val="auto"/>
              </w:rPr>
            </w:pPr>
            <w:r>
              <w:rPr>
                <w:rFonts w:ascii="Calibri" w:cs="Calibri" w:eastAsia="Calibri" w:hAnsi="Calibri"/>
                <w:sz w:val="16"/>
                <w:szCs w:val="16"/>
                <w:color w:val="auto"/>
              </w:rPr>
              <w:t>28,737</w:t>
            </w:r>
          </w:p>
        </w:tc>
        <w:tc>
          <w:tcPr>
            <w:tcW w:w="0" w:type="dxa"/>
            <w:vAlign w:val="bottom"/>
          </w:tcPr>
          <w:p>
            <w:pPr>
              <w:spacing w:after="0"/>
              <w:rPr>
                <w:sz w:val="1"/>
                <w:szCs w:val="1"/>
                <w:color w:val="auto"/>
              </w:rPr>
            </w:pPr>
          </w:p>
        </w:tc>
      </w:tr>
      <w:tr>
        <w:trPr>
          <w:trHeight w:val="211"/>
        </w:trPr>
        <w:tc>
          <w:tcPr>
            <w:tcW w:w="7420" w:type="dxa"/>
            <w:vAlign w:val="bottom"/>
          </w:tcPr>
          <w:p>
            <w:pPr>
              <w:ind w:left="100"/>
              <w:spacing w:after="0"/>
              <w:rPr>
                <w:sz w:val="20"/>
                <w:szCs w:val="20"/>
                <w:color w:val="auto"/>
              </w:rPr>
            </w:pPr>
            <w:r>
              <w:rPr>
                <w:rFonts w:ascii="Calibri" w:cs="Calibri" w:eastAsia="Calibri" w:hAnsi="Calibri"/>
                <w:sz w:val="16"/>
                <w:szCs w:val="16"/>
                <w:color w:val="auto"/>
              </w:rPr>
              <w:t>Internatonal</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58,834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58,325</w:t>
            </w:r>
          </w:p>
        </w:tc>
        <w:tc>
          <w:tcPr>
            <w:tcW w:w="0" w:type="dxa"/>
            <w:vAlign w:val="bottom"/>
          </w:tcPr>
          <w:p>
            <w:pPr>
              <w:spacing w:after="0"/>
              <w:rPr>
                <w:sz w:val="1"/>
                <w:szCs w:val="1"/>
                <w:color w:val="auto"/>
              </w:rPr>
            </w:pPr>
          </w:p>
        </w:tc>
      </w:tr>
      <w:tr>
        <w:trPr>
          <w:trHeight w:val="216"/>
        </w:trPr>
        <w:tc>
          <w:tcPr>
            <w:tcW w:w="7420" w:type="dxa"/>
            <w:vAlign w:val="bottom"/>
          </w:tcPr>
          <w:p>
            <w:pPr>
              <w:ind w:left="100"/>
              <w:spacing w:after="0"/>
              <w:rPr>
                <w:sz w:val="20"/>
                <w:szCs w:val="20"/>
                <w:color w:val="auto"/>
              </w:rPr>
            </w:pPr>
            <w:r>
              <w:rPr>
                <w:rFonts w:ascii="Calibri" w:cs="Calibri" w:eastAsia="Calibri" w:hAnsi="Calibri"/>
                <w:sz w:val="16"/>
                <w:szCs w:val="16"/>
                <w:color w:val="auto"/>
              </w:rPr>
              <w:t>Wave</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22,646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19,137</w:t>
            </w:r>
          </w:p>
        </w:tc>
        <w:tc>
          <w:tcPr>
            <w:tcW w:w="0" w:type="dxa"/>
            <w:vAlign w:val="bottom"/>
          </w:tcPr>
          <w:p>
            <w:pPr>
              <w:spacing w:after="0"/>
              <w:rPr>
                <w:sz w:val="1"/>
                <w:szCs w:val="1"/>
                <w:color w:val="auto"/>
              </w:rPr>
            </w:pPr>
          </w:p>
        </w:tc>
      </w:tr>
      <w:tr>
        <w:trPr>
          <w:trHeight w:val="28"/>
        </w:trPr>
        <w:tc>
          <w:tcPr>
            <w:tcW w:w="7420" w:type="dxa"/>
            <w:vAlign w:val="bottom"/>
            <w:vMerge w:val="restart"/>
          </w:tcPr>
          <w:p>
            <w:pPr>
              <w:ind w:left="320"/>
              <w:spacing w:after="0"/>
              <w:rPr>
                <w:sz w:val="20"/>
                <w:szCs w:val="20"/>
                <w:color w:val="auto"/>
              </w:rPr>
            </w:pPr>
            <w:r>
              <w:rPr>
                <w:rFonts w:ascii="Calibri" w:cs="Calibri" w:eastAsia="Calibri" w:hAnsi="Calibri"/>
                <w:sz w:val="16"/>
                <w:szCs w:val="16"/>
                <w:color w:val="auto"/>
              </w:rPr>
              <w:t>Total revenues</w:t>
            </w: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420" w:type="dxa"/>
            <w:vAlign w:val="bottom"/>
            <w:vMerge w:val="continue"/>
          </w:tcPr>
          <w:p>
            <w:pPr>
              <w:spacing w:after="0"/>
              <w:rPr>
                <w:sz w:val="16"/>
                <w:szCs w:val="16"/>
                <w:color w:val="auto"/>
              </w:rPr>
            </w:pPr>
          </w:p>
        </w:tc>
        <w:tc>
          <w:tcPr>
            <w:tcW w:w="40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b w:val="1"/>
                <w:bCs w:val="1"/>
                <w:color w:val="auto"/>
                <w:w w:val="73"/>
              </w:rPr>
              <w:t>$</w:t>
            </w:r>
          </w:p>
        </w:tc>
        <w:tc>
          <w:tcPr>
            <w:tcW w:w="1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179,985</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59"/>
              <w:spacing w:after="0" w:line="187" w:lineRule="exact"/>
              <w:rPr>
                <w:sz w:val="20"/>
                <w:szCs w:val="20"/>
                <w:color w:val="auto"/>
              </w:rPr>
            </w:pPr>
            <w:r>
              <w:rPr>
                <w:rFonts w:ascii="Calibri" w:cs="Calibri" w:eastAsia="Calibri" w:hAnsi="Calibri"/>
                <w:sz w:val="16"/>
                <w:szCs w:val="16"/>
                <w:color w:val="auto"/>
                <w:w w:val="73"/>
              </w:rPr>
              <w:t>$</w:t>
            </w:r>
          </w:p>
        </w:tc>
        <w:tc>
          <w:tcPr>
            <w:tcW w:w="14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192,624</w:t>
            </w: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Calibri" w:cs="Calibri" w:eastAsia="Calibri" w:hAnsi="Calibri"/>
                <w:sz w:val="16"/>
                <w:szCs w:val="16"/>
                <w:color w:val="auto"/>
              </w:rPr>
              <w:t>Compensaton and benefts:</w:t>
            </w: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40"/>
              <w:spacing w:after="0"/>
              <w:rPr>
                <w:sz w:val="20"/>
                <w:szCs w:val="20"/>
                <w:color w:val="auto"/>
              </w:rPr>
            </w:pPr>
            <w:r>
              <w:rPr>
                <w:rFonts w:ascii="Calibri" w:cs="Calibri" w:eastAsia="Calibri" w:hAnsi="Calibri"/>
                <w:sz w:val="16"/>
                <w:szCs w:val="16"/>
                <w:color w:val="auto"/>
              </w:rPr>
              <w:t>Field wages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61,673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56,079</w:t>
            </w:r>
          </w:p>
        </w:tc>
        <w:tc>
          <w:tcPr>
            <w:tcW w:w="0" w:type="dxa"/>
            <w:vAlign w:val="bottom"/>
          </w:tcPr>
          <w:p>
            <w:pPr>
              <w:spacing w:after="0"/>
              <w:rPr>
                <w:sz w:val="1"/>
                <w:szCs w:val="1"/>
                <w:color w:val="auto"/>
              </w:rPr>
            </w:pPr>
          </w:p>
        </w:tc>
      </w:tr>
      <w:tr>
        <w:trPr>
          <w:trHeight w:val="216"/>
        </w:trPr>
        <w:tc>
          <w:tcPr>
            <w:tcW w:w="7420" w:type="dxa"/>
            <w:vAlign w:val="bottom"/>
          </w:tcPr>
          <w:p>
            <w:pPr>
              <w:ind w:left="140"/>
              <w:spacing w:after="0"/>
              <w:rPr>
                <w:sz w:val="20"/>
                <w:szCs w:val="20"/>
                <w:color w:val="auto"/>
              </w:rPr>
            </w:pPr>
            <w:r>
              <w:rPr>
                <w:rFonts w:ascii="Calibri" w:cs="Calibri" w:eastAsia="Calibri" w:hAnsi="Calibri"/>
                <w:sz w:val="16"/>
                <w:szCs w:val="16"/>
                <w:color w:val="auto"/>
              </w:rPr>
              <w:t>Other wages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63,753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58,064</w:t>
            </w:r>
          </w:p>
        </w:tc>
        <w:tc>
          <w:tcPr>
            <w:tcW w:w="0" w:type="dxa"/>
            <w:vAlign w:val="bottom"/>
          </w:tcPr>
          <w:p>
            <w:pPr>
              <w:spacing w:after="0"/>
              <w:rPr>
                <w:sz w:val="1"/>
                <w:szCs w:val="1"/>
                <w:color w:val="auto"/>
              </w:rPr>
            </w:pPr>
          </w:p>
        </w:tc>
      </w:tr>
      <w:tr>
        <w:trPr>
          <w:trHeight w:val="216"/>
        </w:trPr>
        <w:tc>
          <w:tcPr>
            <w:tcW w:w="7420" w:type="dxa"/>
            <w:vAlign w:val="bottom"/>
          </w:tcPr>
          <w:p>
            <w:pPr>
              <w:ind w:left="140"/>
              <w:spacing w:after="0"/>
              <w:rPr>
                <w:sz w:val="20"/>
                <w:szCs w:val="20"/>
                <w:color w:val="auto"/>
              </w:rPr>
            </w:pPr>
            <w:r>
              <w:rPr>
                <w:rFonts w:ascii="Calibri" w:cs="Calibri" w:eastAsia="Calibri" w:hAnsi="Calibri"/>
                <w:sz w:val="16"/>
                <w:szCs w:val="16"/>
                <w:color w:val="auto"/>
              </w:rPr>
              <w:t>Benefts and other compensaton</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34,832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25,450</w:t>
            </w:r>
          </w:p>
        </w:tc>
        <w:tc>
          <w:tcPr>
            <w:tcW w:w="0" w:type="dxa"/>
            <w:vAlign w:val="bottom"/>
          </w:tcPr>
          <w:p>
            <w:pPr>
              <w:spacing w:after="0"/>
              <w:rPr>
                <w:sz w:val="1"/>
                <w:szCs w:val="1"/>
                <w:color w:val="auto"/>
              </w:rPr>
            </w:pPr>
          </w:p>
        </w:tc>
      </w:tr>
      <w:tr>
        <w:trPr>
          <w:trHeight w:val="28"/>
        </w:trPr>
        <w:tc>
          <w:tcPr>
            <w:tcW w:w="74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160,258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7" w:lineRule="exact"/>
              <w:rPr>
                <w:sz w:val="20"/>
                <w:szCs w:val="20"/>
                <w:color w:val="auto"/>
              </w:rPr>
            </w:pPr>
            <w:r>
              <w:rPr>
                <w:rFonts w:ascii="Calibri" w:cs="Calibri" w:eastAsia="Calibri" w:hAnsi="Calibri"/>
                <w:sz w:val="16"/>
                <w:szCs w:val="16"/>
                <w:color w:val="auto"/>
              </w:rPr>
              <w:t>139,593</w:t>
            </w:r>
          </w:p>
        </w:tc>
        <w:tc>
          <w:tcPr>
            <w:tcW w:w="0" w:type="dxa"/>
            <w:vAlign w:val="bottom"/>
          </w:tcPr>
          <w:p>
            <w:pPr>
              <w:spacing w:after="0"/>
              <w:rPr>
                <w:sz w:val="1"/>
                <w:szCs w:val="1"/>
                <w:color w:val="auto"/>
              </w:rPr>
            </w:pPr>
          </w:p>
        </w:tc>
      </w:tr>
      <w:tr>
        <w:trPr>
          <w:trHeight w:val="211"/>
        </w:trPr>
        <w:tc>
          <w:tcPr>
            <w:tcW w:w="7420" w:type="dxa"/>
            <w:vAlign w:val="bottom"/>
          </w:tcPr>
          <w:p>
            <w:pPr>
              <w:ind w:left="20"/>
              <w:spacing w:after="0"/>
              <w:rPr>
                <w:sz w:val="20"/>
                <w:szCs w:val="20"/>
                <w:color w:val="auto"/>
              </w:rPr>
            </w:pPr>
            <w:r>
              <w:rPr>
                <w:rFonts w:ascii="Calibri" w:cs="Calibri" w:eastAsia="Calibri" w:hAnsi="Calibri"/>
                <w:sz w:val="16"/>
                <w:szCs w:val="16"/>
                <w:color w:val="auto"/>
              </w:rPr>
              <w:t>Occupancy</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97,590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95,822</w:t>
            </w:r>
          </w:p>
        </w:tc>
        <w:tc>
          <w:tcPr>
            <w:tcW w:w="0" w:type="dxa"/>
            <w:vAlign w:val="bottom"/>
          </w:tcPr>
          <w:p>
            <w:pPr>
              <w:spacing w:after="0"/>
              <w:rPr>
                <w:sz w:val="1"/>
                <w:szCs w:val="1"/>
                <w:color w:val="auto"/>
              </w:rPr>
            </w:pPr>
          </w:p>
        </w:tc>
      </w:tr>
      <w:tr>
        <w:trPr>
          <w:trHeight w:val="216"/>
        </w:trPr>
        <w:tc>
          <w:tcPr>
            <w:tcW w:w="7420" w:type="dxa"/>
            <w:vAlign w:val="bottom"/>
          </w:tcPr>
          <w:p>
            <w:pPr>
              <w:ind w:left="20"/>
              <w:spacing w:after="0"/>
              <w:rPr>
                <w:sz w:val="20"/>
                <w:szCs w:val="20"/>
                <w:color w:val="auto"/>
              </w:rPr>
            </w:pPr>
            <w:r>
              <w:rPr>
                <w:rFonts w:ascii="Calibri" w:cs="Calibri" w:eastAsia="Calibri" w:hAnsi="Calibri"/>
                <w:sz w:val="16"/>
                <w:szCs w:val="16"/>
                <w:color w:val="auto"/>
              </w:rPr>
              <w:t>Marketng and advertsing</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10,649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10,073</w:t>
            </w:r>
          </w:p>
        </w:tc>
        <w:tc>
          <w:tcPr>
            <w:tcW w:w="0" w:type="dxa"/>
            <w:vAlign w:val="bottom"/>
          </w:tcPr>
          <w:p>
            <w:pPr>
              <w:spacing w:after="0"/>
              <w:rPr>
                <w:sz w:val="1"/>
                <w:szCs w:val="1"/>
                <w:color w:val="auto"/>
              </w:rPr>
            </w:pPr>
          </w:p>
        </w:tc>
      </w:tr>
      <w:tr>
        <w:trPr>
          <w:trHeight w:val="216"/>
        </w:trPr>
        <w:tc>
          <w:tcPr>
            <w:tcW w:w="7420" w:type="dxa"/>
            <w:vAlign w:val="bottom"/>
          </w:tcPr>
          <w:p>
            <w:pPr>
              <w:ind w:left="20"/>
              <w:spacing w:after="0"/>
              <w:rPr>
                <w:sz w:val="20"/>
                <w:szCs w:val="20"/>
                <w:color w:val="auto"/>
              </w:rPr>
            </w:pPr>
            <w:r>
              <w:rPr>
                <w:rFonts w:ascii="Calibri" w:cs="Calibri" w:eastAsia="Calibri" w:hAnsi="Calibri"/>
                <w:sz w:val="16"/>
                <w:szCs w:val="16"/>
                <w:color w:val="auto"/>
              </w:rPr>
              <w:t>Depreciaton and amortzaton</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33,624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35,715</w:t>
            </w:r>
          </w:p>
        </w:tc>
        <w:tc>
          <w:tcPr>
            <w:tcW w:w="0" w:type="dxa"/>
            <w:vAlign w:val="bottom"/>
          </w:tcPr>
          <w:p>
            <w:pPr>
              <w:spacing w:after="0"/>
              <w:rPr>
                <w:sz w:val="1"/>
                <w:szCs w:val="1"/>
                <w:color w:val="auto"/>
              </w:rPr>
            </w:pPr>
          </w:p>
        </w:tc>
      </w:tr>
      <w:tr>
        <w:trPr>
          <w:trHeight w:val="216"/>
        </w:trPr>
        <w:tc>
          <w:tcPr>
            <w:tcW w:w="7420" w:type="dxa"/>
            <w:vAlign w:val="bottom"/>
          </w:tcPr>
          <w:p>
            <w:pPr>
              <w:ind w:left="20"/>
              <w:spacing w:after="0"/>
              <w:rPr>
                <w:sz w:val="20"/>
                <w:szCs w:val="20"/>
                <w:color w:val="auto"/>
              </w:rPr>
            </w:pPr>
            <w:r>
              <w:rPr>
                <w:rFonts w:ascii="Calibri" w:cs="Calibri" w:eastAsia="Calibri" w:hAnsi="Calibri"/>
                <w:sz w:val="16"/>
                <w:szCs w:val="16"/>
                <w:color w:val="auto"/>
              </w:rPr>
              <w:t>Bad debt</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329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1,043</w:t>
            </w:r>
          </w:p>
        </w:tc>
        <w:tc>
          <w:tcPr>
            <w:tcW w:w="0" w:type="dxa"/>
            <w:vAlign w:val="bottom"/>
          </w:tcPr>
          <w:p>
            <w:pPr>
              <w:spacing w:after="0"/>
              <w:rPr>
                <w:sz w:val="1"/>
                <w:szCs w:val="1"/>
                <w:color w:val="auto"/>
              </w:rPr>
            </w:pPr>
          </w:p>
        </w:tc>
      </w:tr>
      <w:tr>
        <w:trPr>
          <w:trHeight w:val="216"/>
        </w:trPr>
        <w:tc>
          <w:tcPr>
            <w:tcW w:w="7420" w:type="dxa"/>
            <w:vAlign w:val="bottom"/>
          </w:tcPr>
          <w:p>
            <w:pPr>
              <w:ind w:left="20"/>
              <w:spacing w:after="0"/>
              <w:rPr>
                <w:sz w:val="20"/>
                <w:szCs w:val="20"/>
                <w:color w:val="auto"/>
              </w:rPr>
            </w:pPr>
            <w:r>
              <w:rPr>
                <w:rFonts w:ascii="Calibri" w:cs="Calibri" w:eastAsia="Calibri" w:hAnsi="Calibri"/>
                <w:sz w:val="16"/>
                <w:szCs w:val="16"/>
                <w:color w:val="auto"/>
              </w:rPr>
              <w:t>Other</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86,646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85,150</w:t>
            </w:r>
          </w:p>
        </w:tc>
        <w:tc>
          <w:tcPr>
            <w:tcW w:w="0" w:type="dxa"/>
            <w:vAlign w:val="bottom"/>
          </w:tcPr>
          <w:p>
            <w:pPr>
              <w:spacing w:after="0"/>
              <w:rPr>
                <w:sz w:val="1"/>
                <w:szCs w:val="1"/>
                <w:color w:val="auto"/>
              </w:rPr>
            </w:pPr>
          </w:p>
        </w:tc>
      </w:tr>
      <w:tr>
        <w:trPr>
          <w:trHeight w:val="28"/>
        </w:trPr>
        <w:tc>
          <w:tcPr>
            <w:tcW w:w="7420" w:type="dxa"/>
            <w:vAlign w:val="bottom"/>
            <w:vMerge w:val="restart"/>
          </w:tcPr>
          <w:p>
            <w:pPr>
              <w:ind w:left="360"/>
              <w:spacing w:after="0"/>
              <w:rPr>
                <w:sz w:val="20"/>
                <w:szCs w:val="20"/>
                <w:color w:val="auto"/>
              </w:rPr>
            </w:pPr>
            <w:r>
              <w:rPr>
                <w:rFonts w:ascii="Calibri" w:cs="Calibri" w:eastAsia="Calibri" w:hAnsi="Calibri"/>
                <w:sz w:val="16"/>
                <w:szCs w:val="16"/>
                <w:color w:val="auto"/>
              </w:rPr>
              <w:t>Total operatng expenses</w:t>
            </w: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4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389,096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7" w:lineRule="exact"/>
              <w:rPr>
                <w:sz w:val="20"/>
                <w:szCs w:val="20"/>
                <w:color w:val="auto"/>
              </w:rPr>
            </w:pPr>
            <w:r>
              <w:rPr>
                <w:rFonts w:ascii="Calibri" w:cs="Calibri" w:eastAsia="Calibri" w:hAnsi="Calibri"/>
                <w:sz w:val="16"/>
                <w:szCs w:val="16"/>
                <w:color w:val="auto"/>
              </w:rPr>
              <w:t>367,396</w:t>
            </w:r>
          </w:p>
        </w:tc>
        <w:tc>
          <w:tcPr>
            <w:tcW w:w="0" w:type="dxa"/>
            <w:vAlign w:val="bottom"/>
          </w:tcPr>
          <w:p>
            <w:pPr>
              <w:spacing w:after="0"/>
              <w:rPr>
                <w:sz w:val="1"/>
                <w:szCs w:val="1"/>
                <w:color w:val="auto"/>
              </w:rPr>
            </w:pPr>
          </w:p>
        </w:tc>
      </w:tr>
      <w:tr>
        <w:trPr>
          <w:trHeight w:val="23"/>
        </w:trPr>
        <w:tc>
          <w:tcPr>
            <w:tcW w:w="7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Calibri" w:cs="Calibri" w:eastAsia="Calibri" w:hAnsi="Calibri"/>
                <w:sz w:val="16"/>
                <w:szCs w:val="16"/>
                <w:color w:val="auto"/>
              </w:rPr>
              <w:t>Other income (expense), net</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3,611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284</w:t>
            </w:r>
          </w:p>
        </w:tc>
        <w:tc>
          <w:tcPr>
            <w:tcW w:w="0" w:type="dxa"/>
            <w:vAlign w:val="bottom"/>
          </w:tcPr>
          <w:p>
            <w:pPr>
              <w:spacing w:after="0"/>
              <w:rPr>
                <w:sz w:val="1"/>
                <w:szCs w:val="1"/>
                <w:color w:val="auto"/>
              </w:rPr>
            </w:pPr>
          </w:p>
        </w:tc>
      </w:tr>
      <w:tr>
        <w:trPr>
          <w:trHeight w:val="216"/>
        </w:trPr>
        <w:tc>
          <w:tcPr>
            <w:tcW w:w="7420" w:type="dxa"/>
            <w:vAlign w:val="bottom"/>
          </w:tcPr>
          <w:p>
            <w:pPr>
              <w:ind w:left="20"/>
              <w:spacing w:after="0"/>
              <w:rPr>
                <w:sz w:val="20"/>
                <w:szCs w:val="20"/>
                <w:color w:val="auto"/>
              </w:rPr>
            </w:pPr>
            <w:r>
              <w:rPr>
                <w:rFonts w:ascii="Calibri" w:cs="Calibri" w:eastAsia="Calibri" w:hAnsi="Calibri"/>
                <w:sz w:val="16"/>
                <w:szCs w:val="16"/>
                <w:color w:val="auto"/>
              </w:rPr>
              <w:t>Interest expense on borrowings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(15,824)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(22,830)</w:t>
            </w:r>
          </w:p>
        </w:tc>
        <w:tc>
          <w:tcPr>
            <w:tcW w:w="0" w:type="dxa"/>
            <w:vAlign w:val="bottom"/>
          </w:tcPr>
          <w:p>
            <w:pPr>
              <w:spacing w:after="0"/>
              <w:rPr>
                <w:sz w:val="1"/>
                <w:szCs w:val="1"/>
                <w:color w:val="auto"/>
              </w:rPr>
            </w:pPr>
          </w:p>
        </w:tc>
      </w:tr>
      <w:tr>
        <w:trPr>
          <w:trHeight w:val="28"/>
        </w:trPr>
        <w:tc>
          <w:tcPr>
            <w:tcW w:w="7420" w:type="dxa"/>
            <w:vAlign w:val="bottom"/>
            <w:vMerge w:val="restart"/>
          </w:tcPr>
          <w:p>
            <w:pPr>
              <w:ind w:left="20"/>
              <w:spacing w:after="0"/>
              <w:rPr>
                <w:sz w:val="20"/>
                <w:szCs w:val="20"/>
                <w:color w:val="auto"/>
              </w:rPr>
            </w:pPr>
            <w:r>
              <w:rPr>
                <w:rFonts w:ascii="Calibri" w:cs="Calibri" w:eastAsia="Calibri" w:hAnsi="Calibri"/>
                <w:sz w:val="16"/>
                <w:szCs w:val="16"/>
                <w:color w:val="auto"/>
              </w:rPr>
              <w:t>Pretax loss</w:t>
            </w: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4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(221,324)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7" w:lineRule="exact"/>
              <w:rPr>
                <w:sz w:val="20"/>
                <w:szCs w:val="20"/>
                <w:color w:val="auto"/>
              </w:rPr>
            </w:pPr>
            <w:r>
              <w:rPr>
                <w:rFonts w:ascii="Calibri" w:cs="Calibri" w:eastAsia="Calibri" w:hAnsi="Calibri"/>
                <w:sz w:val="16"/>
                <w:szCs w:val="16"/>
                <w:color w:val="auto"/>
              </w:rPr>
              <w:t>(197,318)</w:t>
            </w:r>
          </w:p>
        </w:tc>
        <w:tc>
          <w:tcPr>
            <w:tcW w:w="0" w:type="dxa"/>
            <w:vAlign w:val="bottom"/>
          </w:tcPr>
          <w:p>
            <w:pPr>
              <w:spacing w:after="0"/>
              <w:rPr>
                <w:sz w:val="1"/>
                <w:szCs w:val="1"/>
                <w:color w:val="auto"/>
              </w:rPr>
            </w:pPr>
          </w:p>
        </w:tc>
      </w:tr>
      <w:tr>
        <w:trPr>
          <w:trHeight w:val="211"/>
        </w:trPr>
        <w:tc>
          <w:tcPr>
            <w:tcW w:w="7420" w:type="dxa"/>
            <w:vAlign w:val="bottom"/>
          </w:tcPr>
          <w:p>
            <w:pPr>
              <w:ind w:left="20"/>
              <w:spacing w:after="0"/>
              <w:rPr>
                <w:sz w:val="20"/>
                <w:szCs w:val="20"/>
                <w:color w:val="auto"/>
              </w:rPr>
            </w:pPr>
            <w:r>
              <w:rPr>
                <w:rFonts w:ascii="Calibri" w:cs="Calibri" w:eastAsia="Calibri" w:hAnsi="Calibri"/>
                <w:sz w:val="16"/>
                <w:szCs w:val="16"/>
                <w:color w:val="auto"/>
              </w:rPr>
              <w:t>Income tax beneft</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(53,957)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(47,373)</w:t>
            </w:r>
          </w:p>
        </w:tc>
        <w:tc>
          <w:tcPr>
            <w:tcW w:w="0" w:type="dxa"/>
            <w:vAlign w:val="bottom"/>
          </w:tcPr>
          <w:p>
            <w:pPr>
              <w:spacing w:after="0"/>
              <w:rPr>
                <w:sz w:val="1"/>
                <w:szCs w:val="1"/>
                <w:color w:val="auto"/>
              </w:rPr>
            </w:pPr>
          </w:p>
        </w:tc>
      </w:tr>
      <w:tr>
        <w:trPr>
          <w:trHeight w:val="28"/>
        </w:trPr>
        <w:tc>
          <w:tcPr>
            <w:tcW w:w="7420" w:type="dxa"/>
            <w:vAlign w:val="bottom"/>
            <w:vMerge w:val="restart"/>
          </w:tcPr>
          <w:p>
            <w:pPr>
              <w:ind w:left="20"/>
              <w:spacing w:after="0"/>
              <w:rPr>
                <w:sz w:val="20"/>
                <w:szCs w:val="20"/>
                <w:color w:val="auto"/>
              </w:rPr>
            </w:pPr>
            <w:r>
              <w:rPr>
                <w:rFonts w:ascii="Calibri" w:cs="Calibri" w:eastAsia="Calibri" w:hAnsi="Calibri"/>
                <w:sz w:val="16"/>
                <w:szCs w:val="16"/>
                <w:color w:val="auto"/>
              </w:rPr>
              <w:t>Net loss from contnuing operatons</w:t>
            </w: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4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(167,367)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7" w:lineRule="exact"/>
              <w:rPr>
                <w:sz w:val="20"/>
                <w:szCs w:val="20"/>
                <w:color w:val="auto"/>
              </w:rPr>
            </w:pPr>
            <w:r>
              <w:rPr>
                <w:rFonts w:ascii="Calibri" w:cs="Calibri" w:eastAsia="Calibri" w:hAnsi="Calibri"/>
                <w:sz w:val="16"/>
                <w:szCs w:val="16"/>
                <w:color w:val="auto"/>
              </w:rPr>
              <w:t>(149,945)</w:t>
            </w:r>
          </w:p>
        </w:tc>
        <w:tc>
          <w:tcPr>
            <w:tcW w:w="0" w:type="dxa"/>
            <w:vAlign w:val="bottom"/>
          </w:tcPr>
          <w:p>
            <w:pPr>
              <w:spacing w:after="0"/>
              <w:rPr>
                <w:sz w:val="1"/>
                <w:szCs w:val="1"/>
                <w:color w:val="auto"/>
              </w:rPr>
            </w:pPr>
          </w:p>
        </w:tc>
      </w:tr>
      <w:tr>
        <w:trPr>
          <w:trHeight w:val="211"/>
        </w:trPr>
        <w:tc>
          <w:tcPr>
            <w:tcW w:w="7420" w:type="dxa"/>
            <w:vAlign w:val="bottom"/>
          </w:tcPr>
          <w:p>
            <w:pPr>
              <w:ind w:left="20"/>
              <w:spacing w:after="0"/>
              <w:rPr>
                <w:sz w:val="20"/>
                <w:szCs w:val="20"/>
                <w:color w:val="auto"/>
              </w:rPr>
            </w:pPr>
            <w:r>
              <w:rPr>
                <w:rFonts w:ascii="Calibri" w:cs="Calibri" w:eastAsia="Calibri" w:hAnsi="Calibri"/>
                <w:sz w:val="16"/>
                <w:szCs w:val="16"/>
                <w:color w:val="auto"/>
              </w:rPr>
              <w:t>Net loss from discontnued operatons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(1,054)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(1,656)</w:t>
            </w:r>
          </w:p>
        </w:tc>
        <w:tc>
          <w:tcPr>
            <w:tcW w:w="0" w:type="dxa"/>
            <w:vAlign w:val="bottom"/>
          </w:tcPr>
          <w:p>
            <w:pPr>
              <w:spacing w:after="0"/>
              <w:rPr>
                <w:sz w:val="1"/>
                <w:szCs w:val="1"/>
                <w:color w:val="auto"/>
              </w:rPr>
            </w:pPr>
          </w:p>
        </w:tc>
      </w:tr>
      <w:tr>
        <w:trPr>
          <w:trHeight w:val="28"/>
        </w:trPr>
        <w:tc>
          <w:tcPr>
            <w:tcW w:w="742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Net loss</w:t>
            </w: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420" w:type="dxa"/>
            <w:vAlign w:val="bottom"/>
            <w:vMerge w:val="continue"/>
          </w:tcPr>
          <w:p>
            <w:pPr>
              <w:spacing w:after="0"/>
              <w:rPr>
                <w:sz w:val="16"/>
                <w:szCs w:val="16"/>
                <w:color w:val="auto"/>
              </w:rPr>
            </w:pPr>
          </w:p>
        </w:tc>
        <w:tc>
          <w:tcPr>
            <w:tcW w:w="40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b w:val="1"/>
                <w:bCs w:val="1"/>
                <w:color w:val="auto"/>
                <w:w w:val="73"/>
              </w:rPr>
              <w:t>$</w:t>
            </w:r>
          </w:p>
        </w:tc>
        <w:tc>
          <w:tcPr>
            <w:tcW w:w="1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(168,421)</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59"/>
              <w:spacing w:after="0" w:line="187" w:lineRule="exact"/>
              <w:rPr>
                <w:sz w:val="20"/>
                <w:szCs w:val="20"/>
                <w:color w:val="auto"/>
              </w:rPr>
            </w:pPr>
            <w:r>
              <w:rPr>
                <w:rFonts w:ascii="Calibri" w:cs="Calibri" w:eastAsia="Calibri" w:hAnsi="Calibri"/>
                <w:sz w:val="16"/>
                <w:szCs w:val="16"/>
                <w:color w:val="auto"/>
                <w:w w:val="73"/>
              </w:rPr>
              <w:t>$</w:t>
            </w:r>
          </w:p>
        </w:tc>
        <w:tc>
          <w:tcPr>
            <w:tcW w:w="14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(151,601)</w:t>
            </w: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BASIC AND DILUTED LOSS PER SHARE:</w:t>
            </w: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74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40"/>
              <w:spacing w:after="0"/>
              <w:rPr>
                <w:sz w:val="20"/>
                <w:szCs w:val="20"/>
                <w:color w:val="auto"/>
              </w:rPr>
            </w:pPr>
            <w:r>
              <w:rPr>
                <w:rFonts w:ascii="Calibri" w:cs="Calibri" w:eastAsia="Calibri" w:hAnsi="Calibri"/>
                <w:sz w:val="16"/>
                <w:szCs w:val="16"/>
                <w:color w:val="auto"/>
              </w:rPr>
              <w:t>Contnuing operatons</w:t>
            </w:r>
          </w:p>
        </w:tc>
        <w:tc>
          <w:tcPr>
            <w:tcW w:w="400" w:type="dxa"/>
            <w:vAlign w:val="bottom"/>
          </w:tcPr>
          <w:p>
            <w:pPr>
              <w:jc w:val="right"/>
              <w:ind w:right="239"/>
              <w:spacing w:after="0"/>
              <w:rPr>
                <w:sz w:val="20"/>
                <w:szCs w:val="20"/>
                <w:color w:val="auto"/>
              </w:rPr>
            </w:pPr>
            <w:r>
              <w:rPr>
                <w:rFonts w:ascii="Calibri" w:cs="Calibri" w:eastAsia="Calibri" w:hAnsi="Calibri"/>
                <w:sz w:val="16"/>
                <w:szCs w:val="16"/>
                <w:b w:val="1"/>
                <w:bCs w:val="1"/>
                <w:color w:val="auto"/>
                <w:w w:val="73"/>
              </w:rPr>
              <w:t>$</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(1.05)</w:t>
            </w:r>
          </w:p>
        </w:tc>
        <w:tc>
          <w:tcPr>
            <w:tcW w:w="540" w:type="dxa"/>
            <w:vAlign w:val="bottom"/>
            <w:gridSpan w:val="2"/>
          </w:tcPr>
          <w:p>
            <w:pPr>
              <w:jc w:val="right"/>
              <w:ind w:right="25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(0.84)</w:t>
            </w:r>
          </w:p>
        </w:tc>
        <w:tc>
          <w:tcPr>
            <w:tcW w:w="0" w:type="dxa"/>
            <w:vAlign w:val="bottom"/>
          </w:tcPr>
          <w:p>
            <w:pPr>
              <w:spacing w:after="0"/>
              <w:rPr>
                <w:sz w:val="1"/>
                <w:szCs w:val="1"/>
                <w:color w:val="auto"/>
              </w:rPr>
            </w:pPr>
          </w:p>
        </w:tc>
      </w:tr>
      <w:tr>
        <w:trPr>
          <w:trHeight w:val="216"/>
        </w:trPr>
        <w:tc>
          <w:tcPr>
            <w:tcW w:w="7420" w:type="dxa"/>
            <w:vAlign w:val="bottom"/>
          </w:tcPr>
          <w:p>
            <w:pPr>
              <w:ind w:left="140"/>
              <w:spacing w:after="0"/>
              <w:rPr>
                <w:sz w:val="20"/>
                <w:szCs w:val="20"/>
                <w:color w:val="auto"/>
              </w:rPr>
            </w:pPr>
            <w:r>
              <w:rPr>
                <w:rFonts w:ascii="Calibri" w:cs="Calibri" w:eastAsia="Calibri" w:hAnsi="Calibri"/>
                <w:sz w:val="16"/>
                <w:szCs w:val="16"/>
                <w:color w:val="auto"/>
              </w:rPr>
              <w:t>Discontnued operatons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(0.01)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(0.01)</w:t>
            </w:r>
          </w:p>
        </w:tc>
        <w:tc>
          <w:tcPr>
            <w:tcW w:w="0" w:type="dxa"/>
            <w:vAlign w:val="bottom"/>
          </w:tcPr>
          <w:p>
            <w:pPr>
              <w:spacing w:after="0"/>
              <w:rPr>
                <w:sz w:val="1"/>
                <w:szCs w:val="1"/>
                <w:color w:val="auto"/>
              </w:rPr>
            </w:pPr>
          </w:p>
        </w:tc>
      </w:tr>
      <w:tr>
        <w:trPr>
          <w:trHeight w:val="28"/>
        </w:trPr>
        <w:tc>
          <w:tcPr>
            <w:tcW w:w="7420" w:type="dxa"/>
            <w:vAlign w:val="bottom"/>
            <w:vMerge w:val="restart"/>
          </w:tcPr>
          <w:p>
            <w:pPr>
              <w:ind w:left="140"/>
              <w:spacing w:after="0"/>
              <w:rPr>
                <w:sz w:val="20"/>
                <w:szCs w:val="20"/>
                <w:color w:val="auto"/>
              </w:rPr>
            </w:pPr>
            <w:r>
              <w:rPr>
                <w:rFonts w:ascii="Calibri" w:cs="Calibri" w:eastAsia="Calibri" w:hAnsi="Calibri"/>
                <w:sz w:val="16"/>
                <w:szCs w:val="16"/>
                <w:color w:val="auto"/>
              </w:rPr>
              <w:t>Consolidated</w:t>
            </w: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420" w:type="dxa"/>
            <w:vAlign w:val="bottom"/>
            <w:vMerge w:val="continue"/>
          </w:tcPr>
          <w:p>
            <w:pPr>
              <w:spacing w:after="0"/>
              <w:rPr>
                <w:sz w:val="16"/>
                <w:szCs w:val="16"/>
                <w:color w:val="auto"/>
              </w:rPr>
            </w:pPr>
          </w:p>
        </w:tc>
        <w:tc>
          <w:tcPr>
            <w:tcW w:w="40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b w:val="1"/>
                <w:bCs w:val="1"/>
                <w:color w:val="auto"/>
                <w:w w:val="73"/>
              </w:rPr>
              <w:t>$</w:t>
            </w:r>
          </w:p>
        </w:tc>
        <w:tc>
          <w:tcPr>
            <w:tcW w:w="1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(1.06)</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59"/>
              <w:spacing w:after="0" w:line="187" w:lineRule="exact"/>
              <w:rPr>
                <w:sz w:val="20"/>
                <w:szCs w:val="20"/>
                <w:color w:val="auto"/>
              </w:rPr>
            </w:pPr>
            <w:r>
              <w:rPr>
                <w:rFonts w:ascii="Calibri" w:cs="Calibri" w:eastAsia="Calibri" w:hAnsi="Calibri"/>
                <w:sz w:val="16"/>
                <w:szCs w:val="16"/>
                <w:color w:val="auto"/>
                <w:w w:val="73"/>
              </w:rPr>
              <w:t>$</w:t>
            </w:r>
          </w:p>
        </w:tc>
        <w:tc>
          <w:tcPr>
            <w:tcW w:w="14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(0.85)</w:t>
            </w:r>
          </w:p>
        </w:tc>
        <w:tc>
          <w:tcPr>
            <w:tcW w:w="0" w:type="dxa"/>
            <w:vAlign w:val="bottom"/>
          </w:tcPr>
          <w:p>
            <w:pPr>
              <w:spacing w:after="0"/>
              <w:rPr>
                <w:sz w:val="1"/>
                <w:szCs w:val="1"/>
                <w:color w:val="auto"/>
              </w:rPr>
            </w:pPr>
          </w:p>
        </w:tc>
      </w:tr>
      <w:tr>
        <w:trPr>
          <w:trHeight w:val="23"/>
        </w:trPr>
        <w:tc>
          <w:tcPr>
            <w:tcW w:w="7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Calibri" w:cs="Calibri" w:eastAsia="Calibri" w:hAnsi="Calibri"/>
                <w:sz w:val="16"/>
                <w:szCs w:val="16"/>
                <w:b w:val="1"/>
                <w:bCs w:val="1"/>
                <w:color w:val="auto"/>
              </w:rPr>
              <w:t>WEIGHTED AVERAGE DILUTED SHARES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159,284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178,099</w:t>
            </w:r>
          </w:p>
        </w:tc>
        <w:tc>
          <w:tcPr>
            <w:tcW w:w="0" w:type="dxa"/>
            <w:vAlign w:val="bottom"/>
          </w:tcPr>
          <w:p>
            <w:pPr>
              <w:spacing w:after="0"/>
              <w:rPr>
                <w:sz w:val="1"/>
                <w:szCs w:val="1"/>
                <w:color w:val="auto"/>
              </w:rPr>
            </w:pPr>
          </w:p>
        </w:tc>
      </w:tr>
      <w:tr>
        <w:trPr>
          <w:trHeight w:val="280"/>
        </w:trPr>
        <w:tc>
          <w:tcPr>
            <w:tcW w:w="7420" w:type="dxa"/>
            <w:vAlign w:val="bottom"/>
          </w:tcPr>
          <w:p>
            <w:pPr>
              <w:ind w:left="20"/>
              <w:spacing w:after="0"/>
              <w:rPr>
                <w:sz w:val="20"/>
                <w:szCs w:val="20"/>
                <w:color w:val="auto"/>
              </w:rPr>
            </w:pPr>
            <w:r>
              <w:rPr>
                <w:rFonts w:ascii="Calibri" w:cs="Calibri" w:eastAsia="Calibri" w:hAnsi="Calibri"/>
                <w:sz w:val="16"/>
                <w:szCs w:val="16"/>
                <w:color w:val="auto"/>
              </w:rPr>
              <w:t xml:space="preserve">Adjusted diluted EPS </w:t>
            </w:r>
            <w:r>
              <w:rPr>
                <w:rFonts w:ascii="Calibri" w:cs="Calibri" w:eastAsia="Calibri" w:hAnsi="Calibri"/>
                <w:sz w:val="21"/>
                <w:szCs w:val="21"/>
                <w:color w:val="auto"/>
                <w:vertAlign w:val="superscript"/>
              </w:rPr>
              <w:t>(1)</w:t>
            </w:r>
          </w:p>
        </w:tc>
        <w:tc>
          <w:tcPr>
            <w:tcW w:w="400" w:type="dxa"/>
            <w:vAlign w:val="bottom"/>
          </w:tcPr>
          <w:p>
            <w:pPr>
              <w:jc w:val="right"/>
              <w:ind w:right="239"/>
              <w:spacing w:after="0"/>
              <w:rPr>
                <w:sz w:val="20"/>
                <w:szCs w:val="20"/>
                <w:color w:val="auto"/>
              </w:rPr>
            </w:pPr>
            <w:r>
              <w:rPr>
                <w:rFonts w:ascii="Calibri" w:cs="Calibri" w:eastAsia="Calibri" w:hAnsi="Calibri"/>
                <w:sz w:val="16"/>
                <w:szCs w:val="16"/>
                <w:b w:val="1"/>
                <w:bCs w:val="1"/>
                <w:color w:val="auto"/>
                <w:w w:val="73"/>
              </w:rPr>
              <w:t>$</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(0.99)</w:t>
            </w:r>
          </w:p>
        </w:tc>
        <w:tc>
          <w:tcPr>
            <w:tcW w:w="540" w:type="dxa"/>
            <w:vAlign w:val="bottom"/>
            <w:gridSpan w:val="2"/>
          </w:tcPr>
          <w:p>
            <w:pPr>
              <w:jc w:val="right"/>
              <w:ind w:right="25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(0.78)</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line="243" w:lineRule="exact"/>
              <w:rPr>
                <w:sz w:val="20"/>
                <w:szCs w:val="20"/>
                <w:color w:val="auto"/>
              </w:rPr>
            </w:pPr>
            <w:r>
              <w:rPr>
                <w:rFonts w:ascii="Calibri" w:cs="Calibri" w:eastAsia="Calibri" w:hAnsi="Calibri"/>
                <w:sz w:val="16"/>
                <w:szCs w:val="16"/>
                <w:color w:val="auto"/>
              </w:rPr>
              <w:t xml:space="preserve">EBITDA </w:t>
            </w:r>
            <w:r>
              <w:rPr>
                <w:rFonts w:ascii="Calibri" w:cs="Calibri" w:eastAsia="Calibri" w:hAnsi="Calibri"/>
                <w:sz w:val="21"/>
                <w:szCs w:val="21"/>
                <w:color w:val="auto"/>
                <w:vertAlign w:val="superscript"/>
              </w:rPr>
              <w:t>(1)</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(171,876)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(138,773)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ind w:left="120" w:hanging="112"/>
        <w:spacing w:after="0"/>
        <w:tabs>
          <w:tab w:leader="none" w:pos="120" w:val="left"/>
        </w:tabs>
        <w:numPr>
          <w:ilvl w:val="0"/>
          <w:numId w:val="6"/>
        </w:numPr>
        <w:rPr>
          <w:rFonts w:ascii="Calibri" w:cs="Calibri" w:eastAsia="Calibri" w:hAnsi="Calibri"/>
          <w:sz w:val="15"/>
          <w:szCs w:val="15"/>
          <w:color w:val="auto"/>
          <w:vertAlign w:val="superscript"/>
        </w:rPr>
      </w:pPr>
      <w:r>
        <w:rPr>
          <w:rFonts w:ascii="Calibri" w:cs="Calibri" w:eastAsia="Calibri" w:hAnsi="Calibri"/>
          <w:sz w:val="12"/>
          <w:szCs w:val="12"/>
          <w:color w:val="auto"/>
        </w:rPr>
        <w:t>All non-GAAP measures are results from contnuing operatons. See "</w:t>
      </w:r>
      <w:r>
        <w:rPr>
          <w:rFonts w:ascii="Calibri" w:cs="Calibri" w:eastAsia="Calibri" w:hAnsi="Calibri"/>
          <w:sz w:val="12"/>
          <w:szCs w:val="12"/>
          <w:u w:val="single" w:color="auto"/>
          <w:color w:val="0000FF"/>
        </w:rPr>
        <w:t>Non-GAAP Financial Informaton</w:t>
      </w:r>
      <w:r>
        <w:rPr>
          <w:rFonts w:ascii="Calibri" w:cs="Calibri" w:eastAsia="Calibri" w:hAnsi="Calibri"/>
          <w:sz w:val="12"/>
          <w:szCs w:val="12"/>
          <w:color w:val="auto"/>
        </w:rPr>
        <w:t>" for a reconciliaton of non-GAAP measures.</w:t>
      </w:r>
    </w:p>
    <w:p>
      <w:pPr>
        <w:sectPr>
          <w:pgSz w:w="11900" w:h="16838" w:orient="portrait"/>
          <w:cols w:equalWidth="0" w:num="1">
            <w:col w:w="11260"/>
          </w:cols>
          <w:pgMar w:left="320" w:top="1440"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56895"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56895" cy="5486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1743075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7160" w:type="dxa"/>
            <w:vAlign w:val="bottom"/>
          </w:tcPr>
          <w:p>
            <w:pPr>
              <w:ind w:left="20"/>
              <w:spacing w:after="0"/>
              <w:rPr>
                <w:sz w:val="20"/>
                <w:szCs w:val="20"/>
                <w:color w:val="auto"/>
              </w:rPr>
            </w:pPr>
            <w:r>
              <w:rPr>
                <w:rFonts w:ascii="Calibri" w:cs="Calibri" w:eastAsia="Calibri" w:hAnsi="Calibri"/>
                <w:sz w:val="18"/>
                <w:szCs w:val="18"/>
                <w:b w:val="1"/>
                <w:bCs w:val="1"/>
                <w:color w:val="auto"/>
              </w:rPr>
              <w:t>CONSOLIDATED BALANCE SHEETS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0" w:type="dxa"/>
            <w:vAlign w:val="bottom"/>
            <w:gridSpan w:val="4"/>
          </w:tcPr>
          <w:p>
            <w:pPr>
              <w:jc w:val="right"/>
              <w:spacing w:after="0"/>
              <w:rPr>
                <w:sz w:val="20"/>
                <w:szCs w:val="20"/>
                <w:color w:val="auto"/>
              </w:rPr>
            </w:pPr>
            <w:r>
              <w:rPr>
                <w:rFonts w:ascii="Calibri" w:cs="Calibri" w:eastAsia="Calibri" w:hAnsi="Calibri"/>
                <w:sz w:val="14"/>
                <w:szCs w:val="14"/>
                <w:color w:val="auto"/>
              </w:rPr>
              <w:t>(unaudited, in 000s - except per share data)</w:t>
            </w:r>
          </w:p>
        </w:tc>
        <w:tc>
          <w:tcPr>
            <w:tcW w:w="0" w:type="dxa"/>
            <w:vAlign w:val="bottom"/>
          </w:tcPr>
          <w:p>
            <w:pPr>
              <w:spacing w:after="0"/>
              <w:rPr>
                <w:sz w:val="1"/>
                <w:szCs w:val="1"/>
                <w:color w:val="auto"/>
              </w:rPr>
            </w:pPr>
          </w:p>
        </w:tc>
      </w:tr>
      <w:tr>
        <w:trPr>
          <w:trHeight w:val="23"/>
        </w:trPr>
        <w:tc>
          <w:tcPr>
            <w:tcW w:w="7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7160" w:type="dxa"/>
            <w:vAlign w:val="bottom"/>
            <w:tcBorders>
              <w:left w:val="single" w:sz="8" w:color="auto"/>
              <w:bottom w:val="single" w:sz="8" w:color="99CC33"/>
              <w:right w:val="single" w:sz="8" w:color="auto"/>
            </w:tcBorders>
            <w:shd w:val="clear" w:color="auto" w:fill="99CC33"/>
          </w:tcPr>
          <w:p>
            <w:pPr>
              <w:ind w:left="40"/>
              <w:spacing w:after="0" w:line="187" w:lineRule="exact"/>
              <w:rPr>
                <w:sz w:val="20"/>
                <w:szCs w:val="20"/>
                <w:color w:val="auto"/>
              </w:rPr>
            </w:pPr>
            <w:r>
              <w:rPr>
                <w:rFonts w:ascii="Calibri" w:cs="Calibri" w:eastAsia="Calibri" w:hAnsi="Calibri"/>
                <w:sz w:val="16"/>
                <w:szCs w:val="16"/>
                <w:color w:val="auto"/>
              </w:rPr>
              <w:t>As of</w:t>
            </w:r>
          </w:p>
        </w:tc>
        <w:tc>
          <w:tcPr>
            <w:tcW w:w="120" w:type="dxa"/>
            <w:vAlign w:val="bottom"/>
            <w:tcBorders>
              <w:right w:val="single" w:sz="8" w:color="auto"/>
            </w:tcBorders>
          </w:tcPr>
          <w:p>
            <w:pPr>
              <w:spacing w:after="0"/>
              <w:rPr>
                <w:sz w:val="18"/>
                <w:szCs w:val="18"/>
                <w:color w:val="auto"/>
              </w:rPr>
            </w:pPr>
          </w:p>
        </w:tc>
        <w:tc>
          <w:tcPr>
            <w:tcW w:w="180" w:type="dxa"/>
            <w:vAlign w:val="bottom"/>
            <w:tcBorders>
              <w:bottom w:val="single" w:sz="8" w:color="99CC33"/>
            </w:tcBorders>
            <w:shd w:val="clear" w:color="auto" w:fill="99CC33"/>
          </w:tcPr>
          <w:p>
            <w:pPr>
              <w:spacing w:after="0"/>
              <w:rPr>
                <w:sz w:val="18"/>
                <w:szCs w:val="18"/>
                <w:color w:val="auto"/>
              </w:rPr>
            </w:pPr>
          </w:p>
        </w:tc>
        <w:tc>
          <w:tcPr>
            <w:tcW w:w="1740" w:type="dxa"/>
            <w:vAlign w:val="bottom"/>
            <w:tcBorders>
              <w:bottom w:val="single" w:sz="8" w:color="99CC33"/>
              <w:right w:val="single" w:sz="8" w:color="auto"/>
            </w:tcBorders>
            <w:shd w:val="clear" w:color="auto" w:fill="99CC33"/>
          </w:tcPr>
          <w:p>
            <w:pPr>
              <w:jc w:val="right"/>
              <w:ind w:right="219"/>
              <w:spacing w:after="0" w:line="187" w:lineRule="exact"/>
              <w:rPr>
                <w:sz w:val="20"/>
                <w:szCs w:val="20"/>
                <w:color w:val="auto"/>
              </w:rPr>
            </w:pPr>
            <w:r>
              <w:rPr>
                <w:rFonts w:ascii="Calibri" w:cs="Calibri" w:eastAsia="Calibri" w:hAnsi="Calibri"/>
                <w:sz w:val="16"/>
                <w:szCs w:val="16"/>
                <w:b w:val="1"/>
                <w:bCs w:val="1"/>
                <w:color w:val="auto"/>
              </w:rPr>
              <w:t>September 30, 2022</w:t>
            </w:r>
          </w:p>
        </w:tc>
        <w:tc>
          <w:tcPr>
            <w:tcW w:w="120" w:type="dxa"/>
            <w:vAlign w:val="bottom"/>
            <w:tcBorders>
              <w:right w:val="single" w:sz="8" w:color="auto"/>
            </w:tcBorders>
          </w:tcPr>
          <w:p>
            <w:pPr>
              <w:spacing w:after="0"/>
              <w:rPr>
                <w:sz w:val="18"/>
                <w:szCs w:val="18"/>
                <w:color w:val="auto"/>
              </w:rPr>
            </w:pPr>
          </w:p>
        </w:tc>
        <w:tc>
          <w:tcPr>
            <w:tcW w:w="300" w:type="dxa"/>
            <w:vAlign w:val="bottom"/>
            <w:tcBorders>
              <w:bottom w:val="single" w:sz="8" w:color="99CC33"/>
            </w:tcBorders>
            <w:shd w:val="clear" w:color="auto" w:fill="99CC33"/>
          </w:tcPr>
          <w:p>
            <w:pPr>
              <w:spacing w:after="0"/>
              <w:rPr>
                <w:sz w:val="18"/>
                <w:szCs w:val="18"/>
                <w:color w:val="auto"/>
              </w:rPr>
            </w:pPr>
          </w:p>
        </w:tc>
        <w:tc>
          <w:tcPr>
            <w:tcW w:w="1640" w:type="dxa"/>
            <w:vAlign w:val="bottom"/>
            <w:tcBorders>
              <w:bottom w:val="single" w:sz="8" w:color="99CC33"/>
              <w:right w:val="single" w:sz="8" w:color="auto"/>
            </w:tcBorders>
            <w:shd w:val="clear" w:color="auto" w:fill="99CC33"/>
          </w:tcPr>
          <w:p>
            <w:pPr>
              <w:jc w:val="right"/>
              <w:ind w:right="439"/>
              <w:spacing w:after="0" w:line="187" w:lineRule="exact"/>
              <w:rPr>
                <w:sz w:val="20"/>
                <w:szCs w:val="20"/>
                <w:color w:val="auto"/>
              </w:rPr>
            </w:pPr>
            <w:r>
              <w:rPr>
                <w:rFonts w:ascii="Calibri" w:cs="Calibri" w:eastAsia="Calibri" w:hAnsi="Calibri"/>
                <w:sz w:val="16"/>
                <w:szCs w:val="16"/>
                <w:color w:val="auto"/>
              </w:rPr>
              <w:t>June 30, 2022</w:t>
            </w:r>
          </w:p>
        </w:tc>
        <w:tc>
          <w:tcPr>
            <w:tcW w:w="0" w:type="dxa"/>
            <w:vAlign w:val="bottom"/>
          </w:tcPr>
          <w:p>
            <w:pPr>
              <w:spacing w:after="0"/>
              <w:rPr>
                <w:sz w:val="1"/>
                <w:szCs w:val="1"/>
                <w:color w:val="auto"/>
              </w:rPr>
            </w:pPr>
          </w:p>
        </w:tc>
      </w:tr>
      <w:tr>
        <w:trPr>
          <w:trHeight w:val="223"/>
        </w:trPr>
        <w:tc>
          <w:tcPr>
            <w:tcW w:w="7160" w:type="dxa"/>
            <w:vAlign w:val="bottom"/>
            <w:tcBorders>
              <w:top w:val="single" w:sz="8" w:color="auto"/>
            </w:tcBorders>
          </w:tcPr>
          <w:p>
            <w:pPr>
              <w:ind w:left="3320"/>
              <w:spacing w:after="0"/>
              <w:rPr>
                <w:sz w:val="20"/>
                <w:szCs w:val="20"/>
                <w:color w:val="auto"/>
              </w:rPr>
            </w:pPr>
            <w:r>
              <w:rPr>
                <w:rFonts w:ascii="Calibri" w:cs="Calibri" w:eastAsia="Calibri" w:hAnsi="Calibri"/>
                <w:sz w:val="16"/>
                <w:szCs w:val="16"/>
                <w:b w:val="1"/>
                <w:bCs w:val="1"/>
                <w:color w:val="auto"/>
              </w:rPr>
              <w:t>ASSETS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Cash and cash equivalents</w:t>
            </w:r>
          </w:p>
        </w:tc>
        <w:tc>
          <w:tcPr>
            <w:tcW w:w="300" w:type="dxa"/>
            <w:vAlign w:val="bottom"/>
            <w:gridSpan w:val="2"/>
          </w:tcPr>
          <w:p>
            <w:pPr>
              <w:jc w:val="right"/>
              <w:ind w:right="19"/>
              <w:spacing w:after="0"/>
              <w:rPr>
                <w:sz w:val="20"/>
                <w:szCs w:val="20"/>
                <w:color w:val="auto"/>
              </w:rPr>
            </w:pPr>
            <w:r>
              <w:rPr>
                <w:rFonts w:ascii="Calibri" w:cs="Calibri" w:eastAsia="Calibri" w:hAnsi="Calibri"/>
                <w:sz w:val="16"/>
                <w:szCs w:val="16"/>
                <w:b w:val="1"/>
                <w:bCs w:val="1"/>
                <w:color w:val="auto"/>
              </w:rPr>
              <w:t>$</w:t>
            </w: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322,824</w:t>
            </w:r>
          </w:p>
        </w:tc>
        <w:tc>
          <w:tcPr>
            <w:tcW w:w="420" w:type="dxa"/>
            <w:vAlign w:val="bottom"/>
            <w:gridSpan w:val="2"/>
          </w:tcPr>
          <w:p>
            <w:pPr>
              <w:jc w:val="right"/>
              <w:ind w:right="139"/>
              <w:spacing w:after="0"/>
              <w:rPr>
                <w:sz w:val="20"/>
                <w:szCs w:val="20"/>
                <w:color w:val="auto"/>
              </w:rPr>
            </w:pPr>
            <w:r>
              <w:rPr>
                <w:rFonts w:ascii="Calibri" w:cs="Calibri" w:eastAsia="Calibri" w:hAnsi="Calibri"/>
                <w:sz w:val="16"/>
                <w:szCs w:val="16"/>
                <w:color w:val="auto"/>
              </w:rPr>
              <w:t>$</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885,015</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Cash and cash equivalents - restricted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108,550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165,698</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Receivables,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61,035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58,447</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Income taxes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154,123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202,838</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Prepaid expenses and other 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77,906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72,460</w:t>
            </w:r>
          </w:p>
        </w:tc>
        <w:tc>
          <w:tcPr>
            <w:tcW w:w="0" w:type="dxa"/>
            <w:vAlign w:val="bottom"/>
          </w:tcPr>
          <w:p>
            <w:pPr>
              <w:spacing w:after="0"/>
              <w:rPr>
                <w:sz w:val="1"/>
                <w:szCs w:val="1"/>
                <w:color w:val="auto"/>
              </w:rPr>
            </w:pPr>
          </w:p>
        </w:tc>
      </w:tr>
      <w:tr>
        <w:trPr>
          <w:trHeight w:val="28"/>
        </w:trPr>
        <w:tc>
          <w:tcPr>
            <w:tcW w:w="7160" w:type="dxa"/>
            <w:vAlign w:val="bottom"/>
            <w:vMerge w:val="restart"/>
          </w:tcPr>
          <w:p>
            <w:pPr>
              <w:ind w:left="360"/>
              <w:spacing w:after="0"/>
              <w:rPr>
                <w:sz w:val="20"/>
                <w:szCs w:val="20"/>
                <w:color w:val="auto"/>
              </w:rPr>
            </w:pPr>
            <w:r>
              <w:rPr>
                <w:rFonts w:ascii="Calibri" w:cs="Calibri" w:eastAsia="Calibri" w:hAnsi="Calibri"/>
                <w:sz w:val="16"/>
                <w:szCs w:val="16"/>
                <w:color w:val="auto"/>
              </w:rPr>
              <w:t>Total current assets</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724,438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line="187" w:lineRule="exact"/>
              <w:rPr>
                <w:sz w:val="20"/>
                <w:szCs w:val="20"/>
                <w:color w:val="auto"/>
              </w:rPr>
            </w:pPr>
            <w:r>
              <w:rPr>
                <w:rFonts w:ascii="Calibri" w:cs="Calibri" w:eastAsia="Calibri" w:hAnsi="Calibri"/>
                <w:sz w:val="16"/>
                <w:szCs w:val="16"/>
                <w:color w:val="auto"/>
              </w:rPr>
              <w:t>1,384,458</w:t>
            </w:r>
          </w:p>
        </w:tc>
        <w:tc>
          <w:tcPr>
            <w:tcW w:w="0" w:type="dxa"/>
            <w:vAlign w:val="bottom"/>
          </w:tcPr>
          <w:p>
            <w:pPr>
              <w:spacing w:after="0"/>
              <w:rPr>
                <w:sz w:val="1"/>
                <w:szCs w:val="1"/>
                <w:color w:val="auto"/>
              </w:rPr>
            </w:pPr>
          </w:p>
        </w:tc>
      </w:tr>
      <w:tr>
        <w:trPr>
          <w:trHeight w:val="211"/>
        </w:trPr>
        <w:tc>
          <w:tcPr>
            <w:tcW w:w="7160" w:type="dxa"/>
            <w:vAlign w:val="bottom"/>
          </w:tcPr>
          <w:p>
            <w:pPr>
              <w:ind w:left="140"/>
              <w:spacing w:after="0"/>
              <w:rPr>
                <w:sz w:val="20"/>
                <w:szCs w:val="20"/>
                <w:color w:val="auto"/>
              </w:rPr>
            </w:pPr>
            <w:r>
              <w:rPr>
                <w:rFonts w:ascii="Calibri" w:cs="Calibri" w:eastAsia="Calibri" w:hAnsi="Calibri"/>
                <w:sz w:val="16"/>
                <w:szCs w:val="16"/>
                <w:color w:val="auto"/>
              </w:rPr>
              <w:t>Property and equipment,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127,934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123,912</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Operatng lease right of use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412,823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427,783</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Intangible assets,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303,483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309,644</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Goodwill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746,711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760,401</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Deferred tax assets and income taxes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193,761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208,948</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Other noncurrent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50,082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54,012</w:t>
            </w:r>
          </w:p>
        </w:tc>
        <w:tc>
          <w:tcPr>
            <w:tcW w:w="0" w:type="dxa"/>
            <w:vAlign w:val="bottom"/>
          </w:tcPr>
          <w:p>
            <w:pPr>
              <w:spacing w:after="0"/>
              <w:rPr>
                <w:sz w:val="1"/>
                <w:szCs w:val="1"/>
                <w:color w:val="auto"/>
              </w:rPr>
            </w:pPr>
          </w:p>
        </w:tc>
      </w:tr>
      <w:tr>
        <w:trPr>
          <w:trHeight w:val="28"/>
        </w:trPr>
        <w:tc>
          <w:tcPr>
            <w:tcW w:w="7160" w:type="dxa"/>
            <w:vAlign w:val="bottom"/>
            <w:vMerge w:val="restart"/>
          </w:tcPr>
          <w:p>
            <w:pPr>
              <w:ind w:left="360"/>
              <w:spacing w:after="0"/>
              <w:rPr>
                <w:sz w:val="20"/>
                <w:szCs w:val="20"/>
                <w:color w:val="auto"/>
              </w:rPr>
            </w:pPr>
            <w:r>
              <w:rPr>
                <w:rFonts w:ascii="Calibri" w:cs="Calibri" w:eastAsia="Calibri" w:hAnsi="Calibri"/>
                <w:sz w:val="16"/>
                <w:szCs w:val="16"/>
                <w:color w:val="auto"/>
              </w:rPr>
              <w:t>Total assets</w:t>
            </w: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b w:val="1"/>
                <w:bCs w:val="1"/>
                <w:color w:val="auto"/>
                <w:w w:val="73"/>
              </w:rPr>
              <w:t>$</w:t>
            </w:r>
          </w:p>
        </w:tc>
        <w:tc>
          <w:tcPr>
            <w:tcW w:w="17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2,559,232</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color w:val="auto"/>
                <w:w w:val="73"/>
              </w:rPr>
              <w:t>$</w:t>
            </w:r>
          </w:p>
        </w:tc>
        <w:tc>
          <w:tcPr>
            <w:tcW w:w="1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3,269,158</w:t>
            </w:r>
          </w:p>
        </w:tc>
        <w:tc>
          <w:tcPr>
            <w:tcW w:w="0" w:type="dxa"/>
            <w:vAlign w:val="bottom"/>
          </w:tcPr>
          <w:p>
            <w:pPr>
              <w:spacing w:after="0"/>
              <w:rPr>
                <w:sz w:val="1"/>
                <w:szCs w:val="1"/>
                <w:color w:val="auto"/>
              </w:rPr>
            </w:pPr>
          </w:p>
        </w:tc>
      </w:tr>
      <w:tr>
        <w:trPr>
          <w:trHeight w:val="23"/>
        </w:trPr>
        <w:tc>
          <w:tcPr>
            <w:tcW w:w="7160" w:type="dxa"/>
            <w:vAlign w:val="bottom"/>
            <w:vMerge w:val="restart"/>
          </w:tcPr>
          <w:p>
            <w:pPr>
              <w:ind w:left="2200"/>
              <w:spacing w:after="0"/>
              <w:rPr>
                <w:sz w:val="20"/>
                <w:szCs w:val="20"/>
                <w:color w:val="auto"/>
              </w:rPr>
            </w:pPr>
            <w:r>
              <w:rPr>
                <w:rFonts w:ascii="Calibri" w:cs="Calibri" w:eastAsia="Calibri" w:hAnsi="Calibri"/>
                <w:sz w:val="16"/>
                <w:szCs w:val="16"/>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20"/>
              <w:spacing w:after="0"/>
              <w:rPr>
                <w:sz w:val="20"/>
                <w:szCs w:val="20"/>
                <w:color w:val="auto"/>
              </w:rPr>
            </w:pPr>
            <w:r>
              <w:rPr>
                <w:rFonts w:ascii="Calibri" w:cs="Calibri" w:eastAsia="Calibri" w:hAnsi="Calibri"/>
                <w:sz w:val="16"/>
                <w:szCs w:val="16"/>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Accounts payable and accrued expenses</w:t>
            </w:r>
          </w:p>
        </w:tc>
        <w:tc>
          <w:tcPr>
            <w:tcW w:w="300" w:type="dxa"/>
            <w:vAlign w:val="bottom"/>
            <w:gridSpan w:val="2"/>
          </w:tcPr>
          <w:p>
            <w:pPr>
              <w:jc w:val="right"/>
              <w:ind w:right="19"/>
              <w:spacing w:after="0"/>
              <w:rPr>
                <w:sz w:val="20"/>
                <w:szCs w:val="20"/>
                <w:color w:val="auto"/>
              </w:rPr>
            </w:pPr>
            <w:r>
              <w:rPr>
                <w:rFonts w:ascii="Calibri" w:cs="Calibri" w:eastAsia="Calibri" w:hAnsi="Calibri"/>
                <w:sz w:val="16"/>
                <w:szCs w:val="16"/>
                <w:b w:val="1"/>
                <w:bCs w:val="1"/>
                <w:color w:val="auto"/>
              </w:rPr>
              <w:t>$</w:t>
            </w: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168,496</w:t>
            </w:r>
          </w:p>
        </w:tc>
        <w:tc>
          <w:tcPr>
            <w:tcW w:w="420" w:type="dxa"/>
            <w:vAlign w:val="bottom"/>
            <w:gridSpan w:val="2"/>
          </w:tcPr>
          <w:p>
            <w:pPr>
              <w:jc w:val="right"/>
              <w:ind w:right="139"/>
              <w:spacing w:after="0"/>
              <w:rPr>
                <w:sz w:val="20"/>
                <w:szCs w:val="20"/>
                <w:color w:val="auto"/>
              </w:rPr>
            </w:pPr>
            <w:r>
              <w:rPr>
                <w:rFonts w:ascii="Calibri" w:cs="Calibri" w:eastAsia="Calibri" w:hAnsi="Calibri"/>
                <w:sz w:val="16"/>
                <w:szCs w:val="16"/>
                <w:color w:val="auto"/>
              </w:rPr>
              <w:t>$</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160,929</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Accrued salaries, wages and payroll taxes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56,162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154,764</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Accrued income taxes and reserves for uncertain tax positons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188,118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280,115</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Operatng lease liabilites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197,491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206,898</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Deferred revenue and other current liabilites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179,956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196,107</w:t>
            </w:r>
          </w:p>
        </w:tc>
        <w:tc>
          <w:tcPr>
            <w:tcW w:w="0" w:type="dxa"/>
            <w:vAlign w:val="bottom"/>
          </w:tcPr>
          <w:p>
            <w:pPr>
              <w:spacing w:after="0"/>
              <w:rPr>
                <w:sz w:val="1"/>
                <w:szCs w:val="1"/>
                <w:color w:val="auto"/>
              </w:rPr>
            </w:pPr>
          </w:p>
        </w:tc>
      </w:tr>
      <w:tr>
        <w:trPr>
          <w:trHeight w:val="28"/>
        </w:trPr>
        <w:tc>
          <w:tcPr>
            <w:tcW w:w="7160" w:type="dxa"/>
            <w:vAlign w:val="bottom"/>
            <w:vMerge w:val="restart"/>
          </w:tcPr>
          <w:p>
            <w:pPr>
              <w:ind w:left="360"/>
              <w:spacing w:after="0"/>
              <w:rPr>
                <w:sz w:val="20"/>
                <w:szCs w:val="20"/>
                <w:color w:val="auto"/>
              </w:rPr>
            </w:pPr>
            <w:r>
              <w:rPr>
                <w:rFonts w:ascii="Calibri" w:cs="Calibri" w:eastAsia="Calibri" w:hAnsi="Calibri"/>
                <w:sz w:val="16"/>
                <w:szCs w:val="16"/>
                <w:color w:val="auto"/>
              </w:rPr>
              <w:t>Total current liabilites</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790,223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line="187" w:lineRule="exact"/>
              <w:rPr>
                <w:sz w:val="20"/>
                <w:szCs w:val="20"/>
                <w:color w:val="auto"/>
              </w:rPr>
            </w:pPr>
            <w:r>
              <w:rPr>
                <w:rFonts w:ascii="Calibri" w:cs="Calibri" w:eastAsia="Calibri" w:hAnsi="Calibri"/>
                <w:sz w:val="16"/>
                <w:szCs w:val="16"/>
                <w:color w:val="auto"/>
              </w:rPr>
              <w:t>998,813</w:t>
            </w:r>
          </w:p>
        </w:tc>
        <w:tc>
          <w:tcPr>
            <w:tcW w:w="0" w:type="dxa"/>
            <w:vAlign w:val="bottom"/>
          </w:tcPr>
          <w:p>
            <w:pPr>
              <w:spacing w:after="0"/>
              <w:rPr>
                <w:sz w:val="1"/>
                <w:szCs w:val="1"/>
                <w:color w:val="auto"/>
              </w:rPr>
            </w:pPr>
          </w:p>
        </w:tc>
      </w:tr>
      <w:tr>
        <w:trPr>
          <w:trHeight w:val="211"/>
        </w:trPr>
        <w:tc>
          <w:tcPr>
            <w:tcW w:w="7160" w:type="dxa"/>
            <w:vAlign w:val="bottom"/>
          </w:tcPr>
          <w:p>
            <w:pPr>
              <w:ind w:left="140"/>
              <w:spacing w:after="0"/>
              <w:rPr>
                <w:sz w:val="20"/>
                <w:szCs w:val="20"/>
                <w:color w:val="auto"/>
              </w:rPr>
            </w:pPr>
            <w:r>
              <w:rPr>
                <w:rFonts w:ascii="Calibri" w:cs="Calibri" w:eastAsia="Calibri" w:hAnsi="Calibri"/>
                <w:sz w:val="16"/>
                <w:szCs w:val="16"/>
                <w:color w:val="auto"/>
              </w:rPr>
              <w:t>Long-term debt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1,487,407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1,486,876</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Deferred tax liabilites and reserves for uncertain tax positons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229,340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226,362</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Operatng lease liabilites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222,914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228,820</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Deferred revenue and other noncurrent liabilites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94,333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116,656</w:t>
            </w:r>
          </w:p>
        </w:tc>
        <w:tc>
          <w:tcPr>
            <w:tcW w:w="0" w:type="dxa"/>
            <w:vAlign w:val="bottom"/>
          </w:tcPr>
          <w:p>
            <w:pPr>
              <w:spacing w:after="0"/>
              <w:rPr>
                <w:sz w:val="1"/>
                <w:szCs w:val="1"/>
                <w:color w:val="auto"/>
              </w:rPr>
            </w:pPr>
          </w:p>
        </w:tc>
      </w:tr>
      <w:tr>
        <w:trPr>
          <w:trHeight w:val="28"/>
        </w:trPr>
        <w:tc>
          <w:tcPr>
            <w:tcW w:w="7160" w:type="dxa"/>
            <w:vAlign w:val="bottom"/>
            <w:vMerge w:val="restart"/>
          </w:tcPr>
          <w:p>
            <w:pPr>
              <w:ind w:left="360"/>
              <w:spacing w:after="0"/>
              <w:rPr>
                <w:sz w:val="20"/>
                <w:szCs w:val="20"/>
                <w:color w:val="auto"/>
              </w:rPr>
            </w:pPr>
            <w:r>
              <w:rPr>
                <w:rFonts w:ascii="Calibri" w:cs="Calibri" w:eastAsia="Calibri" w:hAnsi="Calibri"/>
                <w:sz w:val="16"/>
                <w:szCs w:val="16"/>
                <w:color w:val="auto"/>
              </w:rPr>
              <w:t>Total liabilites</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2,824,217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line="187" w:lineRule="exact"/>
              <w:rPr>
                <w:sz w:val="20"/>
                <w:szCs w:val="20"/>
                <w:color w:val="auto"/>
              </w:rPr>
            </w:pPr>
            <w:r>
              <w:rPr>
                <w:rFonts w:ascii="Calibri" w:cs="Calibri" w:eastAsia="Calibri" w:hAnsi="Calibri"/>
                <w:sz w:val="16"/>
                <w:szCs w:val="16"/>
                <w:color w:val="auto"/>
              </w:rPr>
              <w:t>3,057,527</w:t>
            </w:r>
          </w:p>
        </w:tc>
        <w:tc>
          <w:tcPr>
            <w:tcW w:w="0" w:type="dxa"/>
            <w:vAlign w:val="bottom"/>
          </w:tcPr>
          <w:p>
            <w:pPr>
              <w:spacing w:after="0"/>
              <w:rPr>
                <w:sz w:val="1"/>
                <w:szCs w:val="1"/>
                <w:color w:val="auto"/>
              </w:rPr>
            </w:pPr>
          </w:p>
        </w:tc>
      </w:tr>
      <w:tr>
        <w:trPr>
          <w:trHeight w:val="23"/>
        </w:trPr>
        <w:tc>
          <w:tcPr>
            <w:tcW w:w="716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COMMITMENTS AND CONTINGENCIES</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20"/>
              <w:spacing w:after="0"/>
              <w:rPr>
                <w:sz w:val="20"/>
                <w:szCs w:val="20"/>
                <w:color w:val="auto"/>
              </w:rPr>
            </w:pPr>
            <w:r>
              <w:rPr>
                <w:rFonts w:ascii="Calibri" w:cs="Calibri" w:eastAsia="Calibri" w:hAnsi="Calibri"/>
                <w:sz w:val="16"/>
                <w:szCs w:val="16"/>
                <w:b w:val="1"/>
                <w:bCs w:val="1"/>
                <w:color w:val="auto"/>
              </w:rPr>
              <w:t>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Common stock, no par, stated value $.01 per share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1,887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1,936</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Additonal paid-in 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759,629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772,182</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Accumulated other comprehensive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(53,990)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(21,645)</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Calibri" w:cs="Calibri" w:eastAsia="Calibri" w:hAnsi="Calibri"/>
                <w:sz w:val="16"/>
                <w:szCs w:val="16"/>
                <w:color w:val="auto"/>
              </w:rPr>
              <w:t>Retained earnings (defcit)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(311,671)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120,405</w:t>
            </w:r>
          </w:p>
        </w:tc>
        <w:tc>
          <w:tcPr>
            <w:tcW w:w="0" w:type="dxa"/>
            <w:vAlign w:val="bottom"/>
          </w:tcPr>
          <w:p>
            <w:pPr>
              <w:spacing w:after="0"/>
              <w:rPr>
                <w:sz w:val="1"/>
                <w:szCs w:val="1"/>
                <w:color w:val="auto"/>
              </w:rPr>
            </w:pPr>
          </w:p>
        </w:tc>
      </w:tr>
      <w:tr>
        <w:trPr>
          <w:trHeight w:val="216"/>
        </w:trPr>
        <w:tc>
          <w:tcPr>
            <w:tcW w:w="7160" w:type="dxa"/>
            <w:vAlign w:val="bottom"/>
          </w:tcPr>
          <w:p>
            <w:pPr>
              <w:ind w:left="100"/>
              <w:spacing w:after="0"/>
              <w:rPr>
                <w:sz w:val="20"/>
                <w:szCs w:val="20"/>
                <w:color w:val="auto"/>
              </w:rPr>
            </w:pPr>
            <w:r>
              <w:rPr>
                <w:rFonts w:ascii="Calibri" w:cs="Calibri" w:eastAsia="Calibri" w:hAnsi="Calibri"/>
                <w:sz w:val="16"/>
                <w:szCs w:val="16"/>
                <w:color w:val="auto"/>
              </w:rPr>
              <w:t>Less treasury shares, at cost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(660,840)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(661,247)</w:t>
            </w:r>
          </w:p>
        </w:tc>
        <w:tc>
          <w:tcPr>
            <w:tcW w:w="0" w:type="dxa"/>
            <w:vAlign w:val="bottom"/>
          </w:tcPr>
          <w:p>
            <w:pPr>
              <w:spacing w:after="0"/>
              <w:rPr>
                <w:sz w:val="1"/>
                <w:szCs w:val="1"/>
                <w:color w:val="auto"/>
              </w:rPr>
            </w:pPr>
          </w:p>
        </w:tc>
      </w:tr>
      <w:tr>
        <w:trPr>
          <w:trHeight w:val="28"/>
        </w:trPr>
        <w:tc>
          <w:tcPr>
            <w:tcW w:w="7160" w:type="dxa"/>
            <w:vAlign w:val="bottom"/>
            <w:vMerge w:val="restart"/>
          </w:tcPr>
          <w:p>
            <w:pPr>
              <w:ind w:left="360"/>
              <w:spacing w:after="0"/>
              <w:rPr>
                <w:sz w:val="20"/>
                <w:szCs w:val="20"/>
                <w:color w:val="auto"/>
              </w:rPr>
            </w:pPr>
            <w:r>
              <w:rPr>
                <w:rFonts w:ascii="Calibri" w:cs="Calibri" w:eastAsia="Calibri" w:hAnsi="Calibri"/>
                <w:sz w:val="16"/>
                <w:szCs w:val="16"/>
                <w:color w:val="auto"/>
              </w:rPr>
              <w:t>Total stockholders' equity (defciency)</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(264,985)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line="187" w:lineRule="exact"/>
              <w:rPr>
                <w:sz w:val="20"/>
                <w:szCs w:val="20"/>
                <w:color w:val="auto"/>
              </w:rPr>
            </w:pPr>
            <w:r>
              <w:rPr>
                <w:rFonts w:ascii="Calibri" w:cs="Calibri" w:eastAsia="Calibri" w:hAnsi="Calibri"/>
                <w:sz w:val="16"/>
                <w:szCs w:val="16"/>
                <w:color w:val="auto"/>
              </w:rPr>
              <w:t>211,631</w:t>
            </w:r>
          </w:p>
        </w:tc>
        <w:tc>
          <w:tcPr>
            <w:tcW w:w="0" w:type="dxa"/>
            <w:vAlign w:val="bottom"/>
          </w:tcPr>
          <w:p>
            <w:pPr>
              <w:spacing w:after="0"/>
              <w:rPr>
                <w:sz w:val="1"/>
                <w:szCs w:val="1"/>
                <w:color w:val="auto"/>
              </w:rPr>
            </w:pPr>
          </w:p>
        </w:tc>
      </w:tr>
      <w:tr>
        <w:trPr>
          <w:trHeight w:val="22"/>
        </w:trPr>
        <w:tc>
          <w:tcPr>
            <w:tcW w:w="7160" w:type="dxa"/>
            <w:vAlign w:val="bottom"/>
            <w:vMerge w:val="restart"/>
          </w:tcPr>
          <w:p>
            <w:pPr>
              <w:ind w:left="560"/>
              <w:spacing w:after="0"/>
              <w:rPr>
                <w:sz w:val="20"/>
                <w:szCs w:val="20"/>
                <w:color w:val="auto"/>
              </w:rPr>
            </w:pPr>
            <w:r>
              <w:rPr>
                <w:rFonts w:ascii="Calibri" w:cs="Calibri" w:eastAsia="Calibri" w:hAnsi="Calibri"/>
                <w:sz w:val="16"/>
                <w:szCs w:val="16"/>
                <w:color w:val="auto"/>
              </w:rPr>
              <w:t>Total liabilites and stockholders' equity</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b w:val="1"/>
                <w:bCs w:val="1"/>
                <w:color w:val="auto"/>
                <w:w w:val="73"/>
              </w:rPr>
              <w:t>$</w:t>
            </w:r>
          </w:p>
        </w:tc>
        <w:tc>
          <w:tcPr>
            <w:tcW w:w="17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2,559,232</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color w:val="auto"/>
                <w:w w:val="73"/>
              </w:rPr>
              <w:t>$</w:t>
            </w:r>
          </w:p>
        </w:tc>
        <w:tc>
          <w:tcPr>
            <w:tcW w:w="1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3,269,158</w:t>
            </w:r>
          </w:p>
        </w:tc>
        <w:tc>
          <w:tcPr>
            <w:tcW w:w="0" w:type="dxa"/>
            <w:vAlign w:val="bottom"/>
          </w:tcPr>
          <w:p>
            <w:pPr>
              <w:spacing w:after="0"/>
              <w:rPr>
                <w:sz w:val="1"/>
                <w:szCs w:val="1"/>
                <w:color w:val="auto"/>
              </w:rPr>
            </w:pPr>
          </w:p>
        </w:tc>
      </w:tr>
      <w:tr>
        <w:trPr>
          <w:trHeight w:val="23"/>
        </w:trPr>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7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556895"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56895" cy="54864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1640205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7720" w:type="dxa"/>
            <w:vAlign w:val="bottom"/>
          </w:tcPr>
          <w:p>
            <w:pPr>
              <w:ind w:left="20"/>
              <w:spacing w:after="0"/>
              <w:rPr>
                <w:sz w:val="20"/>
                <w:szCs w:val="20"/>
                <w:color w:val="auto"/>
              </w:rPr>
            </w:pPr>
            <w:r>
              <w:rPr>
                <w:rFonts w:ascii="Calibri" w:cs="Calibri" w:eastAsia="Calibri" w:hAnsi="Calibri"/>
                <w:sz w:val="18"/>
                <w:szCs w:val="18"/>
                <w:b w:val="1"/>
                <w:bCs w:val="1"/>
                <w:color w:val="auto"/>
              </w:rPr>
              <w:t>CONDENSED CONSOLIDATED STATEMENTS OF CASH FLOWS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Calibri" w:cs="Calibri" w:eastAsia="Calibri" w:hAnsi="Calibri"/>
                <w:sz w:val="14"/>
                <w:szCs w:val="14"/>
                <w:color w:val="auto"/>
              </w:rPr>
              <w:t>(unaudited, in 000s)</w:t>
            </w: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7720" w:type="dxa"/>
            <w:vAlign w:val="bottom"/>
            <w:tcBorders>
              <w:left w:val="single" w:sz="8" w:color="auto"/>
              <w:bottom w:val="single" w:sz="8" w:color="99CC33"/>
              <w:right w:val="single" w:sz="8" w:color="auto"/>
            </w:tcBorders>
            <w:shd w:val="clear" w:color="auto" w:fill="99CC33"/>
          </w:tcPr>
          <w:p>
            <w:pPr>
              <w:ind w:left="40"/>
              <w:spacing w:after="0" w:line="187" w:lineRule="exact"/>
              <w:rPr>
                <w:sz w:val="20"/>
                <w:szCs w:val="20"/>
                <w:color w:val="auto"/>
              </w:rPr>
            </w:pPr>
            <w:r>
              <w:rPr>
                <w:rFonts w:ascii="Calibri" w:cs="Calibri" w:eastAsia="Calibri" w:hAnsi="Calibri"/>
                <w:sz w:val="16"/>
                <w:szCs w:val="16"/>
                <w:color w:val="auto"/>
              </w:rPr>
              <w:t>Three months ended September 30,</w:t>
            </w:r>
          </w:p>
        </w:tc>
        <w:tc>
          <w:tcPr>
            <w:tcW w:w="100" w:type="dxa"/>
            <w:vAlign w:val="bottom"/>
            <w:tcBorders>
              <w:right w:val="single" w:sz="8" w:color="auto"/>
            </w:tcBorders>
          </w:tcPr>
          <w:p>
            <w:pPr>
              <w:spacing w:after="0"/>
              <w:rPr>
                <w:sz w:val="18"/>
                <w:szCs w:val="18"/>
                <w:color w:val="auto"/>
              </w:rPr>
            </w:pPr>
          </w:p>
        </w:tc>
        <w:tc>
          <w:tcPr>
            <w:tcW w:w="360" w:type="dxa"/>
            <w:vAlign w:val="bottom"/>
            <w:tcBorders>
              <w:bottom w:val="single" w:sz="8" w:color="99CC33"/>
            </w:tcBorders>
            <w:shd w:val="clear" w:color="auto" w:fill="99CC33"/>
          </w:tcPr>
          <w:p>
            <w:pPr>
              <w:spacing w:after="0"/>
              <w:rPr>
                <w:sz w:val="18"/>
                <w:szCs w:val="18"/>
                <w:color w:val="auto"/>
              </w:rPr>
            </w:pPr>
          </w:p>
        </w:tc>
        <w:tc>
          <w:tcPr>
            <w:tcW w:w="1300" w:type="dxa"/>
            <w:vAlign w:val="bottom"/>
            <w:tcBorders>
              <w:bottom w:val="single" w:sz="8" w:color="99CC33"/>
              <w:right w:val="single" w:sz="8" w:color="auto"/>
            </w:tcBorders>
            <w:shd w:val="clear" w:color="auto" w:fill="99CC33"/>
          </w:tcPr>
          <w:p>
            <w:pPr>
              <w:jc w:val="right"/>
              <w:ind w:right="599"/>
              <w:spacing w:after="0" w:line="187" w:lineRule="exact"/>
              <w:rPr>
                <w:sz w:val="20"/>
                <w:szCs w:val="20"/>
                <w:color w:val="auto"/>
              </w:rPr>
            </w:pPr>
            <w:r>
              <w:rPr>
                <w:rFonts w:ascii="Calibri" w:cs="Calibri" w:eastAsia="Calibri" w:hAnsi="Calibri"/>
                <w:sz w:val="16"/>
                <w:szCs w:val="16"/>
                <w:b w:val="1"/>
                <w:bCs w:val="1"/>
                <w:color w:val="auto"/>
              </w:rPr>
              <w:t>2022</w:t>
            </w:r>
          </w:p>
        </w:tc>
        <w:tc>
          <w:tcPr>
            <w:tcW w:w="100" w:type="dxa"/>
            <w:vAlign w:val="bottom"/>
            <w:tcBorders>
              <w:right w:val="single" w:sz="8" w:color="auto"/>
            </w:tcBorders>
          </w:tcPr>
          <w:p>
            <w:pPr>
              <w:spacing w:after="0"/>
              <w:rPr>
                <w:sz w:val="18"/>
                <w:szCs w:val="18"/>
                <w:color w:val="auto"/>
              </w:rPr>
            </w:pPr>
          </w:p>
        </w:tc>
        <w:tc>
          <w:tcPr>
            <w:tcW w:w="260" w:type="dxa"/>
            <w:vAlign w:val="bottom"/>
            <w:tcBorders>
              <w:bottom w:val="single" w:sz="8" w:color="99CC33"/>
            </w:tcBorders>
            <w:shd w:val="clear" w:color="auto" w:fill="99CC33"/>
          </w:tcPr>
          <w:p>
            <w:pPr>
              <w:spacing w:after="0"/>
              <w:rPr>
                <w:sz w:val="18"/>
                <w:szCs w:val="18"/>
                <w:color w:val="auto"/>
              </w:rPr>
            </w:pPr>
          </w:p>
        </w:tc>
        <w:tc>
          <w:tcPr>
            <w:tcW w:w="1380" w:type="dxa"/>
            <w:vAlign w:val="bottom"/>
            <w:tcBorders>
              <w:bottom w:val="single" w:sz="8" w:color="99CC33"/>
              <w:right w:val="single" w:sz="8" w:color="auto"/>
            </w:tcBorders>
            <w:shd w:val="clear" w:color="auto" w:fill="99CC33"/>
          </w:tcPr>
          <w:p>
            <w:pPr>
              <w:jc w:val="right"/>
              <w:ind w:right="579"/>
              <w:spacing w:after="0" w:line="187" w:lineRule="exact"/>
              <w:rPr>
                <w:sz w:val="20"/>
                <w:szCs w:val="20"/>
                <w:color w:val="auto"/>
              </w:rPr>
            </w:pPr>
            <w:r>
              <w:rPr>
                <w:rFonts w:ascii="Calibri" w:cs="Calibri" w:eastAsia="Calibri" w:hAnsi="Calibri"/>
                <w:sz w:val="16"/>
                <w:szCs w:val="16"/>
                <w:color w:val="auto"/>
              </w:rPr>
              <w:t>2021</w:t>
            </w:r>
          </w:p>
        </w:tc>
        <w:tc>
          <w:tcPr>
            <w:tcW w:w="0" w:type="dxa"/>
            <w:vAlign w:val="bottom"/>
          </w:tcPr>
          <w:p>
            <w:pPr>
              <w:spacing w:after="0"/>
              <w:rPr>
                <w:sz w:val="1"/>
                <w:szCs w:val="1"/>
                <w:color w:val="auto"/>
              </w:rPr>
            </w:pPr>
          </w:p>
        </w:tc>
      </w:tr>
      <w:tr>
        <w:trPr>
          <w:trHeight w:val="223"/>
        </w:trPr>
        <w:tc>
          <w:tcPr>
            <w:tcW w:w="7720" w:type="dxa"/>
            <w:vAlign w:val="bottom"/>
            <w:tcBorders>
              <w:top w:val="single" w:sz="8" w:color="auto"/>
            </w:tcBorders>
          </w:tcPr>
          <w:p>
            <w:pPr>
              <w:ind w:left="20"/>
              <w:spacing w:after="0"/>
              <w:rPr>
                <w:sz w:val="20"/>
                <w:szCs w:val="20"/>
                <w:color w:val="auto"/>
              </w:rPr>
            </w:pPr>
            <w:r>
              <w:rPr>
                <w:rFonts w:ascii="Calibri" w:cs="Calibri" w:eastAsia="Calibri" w:hAnsi="Calibri"/>
                <w:sz w:val="16"/>
                <w:szCs w:val="16"/>
                <w:b w:val="1"/>
                <w:bCs w:val="1"/>
                <w:color w:val="auto"/>
              </w:rPr>
              <w:t>CASH FLOWS FROM OPERATING ACTIVITIES:</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Net loss</w:t>
            </w:r>
          </w:p>
        </w:tc>
        <w:tc>
          <w:tcPr>
            <w:tcW w:w="460" w:type="dxa"/>
            <w:vAlign w:val="bottom"/>
            <w:gridSpan w:val="2"/>
          </w:tcPr>
          <w:p>
            <w:pPr>
              <w:jc w:val="right"/>
              <w:ind w:right="199"/>
              <w:spacing w:after="0"/>
              <w:rPr>
                <w:sz w:val="20"/>
                <w:szCs w:val="20"/>
                <w:color w:val="auto"/>
              </w:rPr>
            </w:pPr>
            <w:r>
              <w:rPr>
                <w:rFonts w:ascii="Calibri" w:cs="Calibri" w:eastAsia="Calibri" w:hAnsi="Calibri"/>
                <w:sz w:val="16"/>
                <w:szCs w:val="16"/>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(168,421)</w:t>
            </w:r>
          </w:p>
        </w:tc>
        <w:tc>
          <w:tcPr>
            <w:tcW w:w="360" w:type="dxa"/>
            <w:vAlign w:val="bottom"/>
            <w:gridSpan w:val="2"/>
          </w:tcPr>
          <w:p>
            <w:pPr>
              <w:jc w:val="right"/>
              <w:ind w:right="99"/>
              <w:spacing w:after="0"/>
              <w:rPr>
                <w:sz w:val="20"/>
                <w:szCs w:val="20"/>
                <w:color w:val="auto"/>
              </w:rPr>
            </w:pPr>
            <w:r>
              <w:rPr>
                <w:rFonts w:ascii="Calibri" w:cs="Calibri" w:eastAsia="Calibri" w:hAnsi="Calibri"/>
                <w:sz w:val="16"/>
                <w:szCs w:val="16"/>
                <w:color w:val="auto"/>
              </w:rPr>
              <w:t>$</w:t>
            </w:r>
          </w:p>
        </w:tc>
        <w:tc>
          <w:tcPr>
            <w:tcW w:w="1380" w:type="dxa"/>
            <w:vAlign w:val="bottom"/>
          </w:tcPr>
          <w:p>
            <w:pPr>
              <w:jc w:val="right"/>
              <w:spacing w:after="0"/>
              <w:rPr>
                <w:sz w:val="20"/>
                <w:szCs w:val="20"/>
                <w:color w:val="auto"/>
              </w:rPr>
            </w:pPr>
            <w:r>
              <w:rPr>
                <w:rFonts w:ascii="Calibri" w:cs="Calibri" w:eastAsia="Calibri" w:hAnsi="Calibri"/>
                <w:sz w:val="16"/>
                <w:szCs w:val="16"/>
                <w:color w:val="auto"/>
              </w:rPr>
              <w:t>(151,601)</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Adjustments to reconcile net loss to net cash used in operatng actvites: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Calibri" w:cs="Calibri" w:eastAsia="Calibri" w:hAnsi="Calibri"/>
                <w:sz w:val="16"/>
                <w:szCs w:val="16"/>
                <w:color w:val="auto"/>
              </w:rPr>
              <w:t>Depreciaton and amortzaton</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33,624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35,715</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Calibri" w:cs="Calibri" w:eastAsia="Calibri" w:hAnsi="Calibri"/>
                <w:sz w:val="16"/>
                <w:szCs w:val="16"/>
                <w:color w:val="auto"/>
              </w:rPr>
              <w:t>Provision</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1,077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1,850</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Calibri" w:cs="Calibri" w:eastAsia="Calibri" w:hAnsi="Calibri"/>
                <w:sz w:val="16"/>
                <w:szCs w:val="16"/>
                <w:color w:val="auto"/>
              </w:rPr>
              <w:t>Deferred taxes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16,918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(13,547)</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Calibri" w:cs="Calibri" w:eastAsia="Calibri" w:hAnsi="Calibri"/>
                <w:sz w:val="16"/>
                <w:szCs w:val="16"/>
                <w:color w:val="auto"/>
              </w:rPr>
              <w:t>Stock-based compensaton</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7,654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6,847</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Calibri" w:cs="Calibri" w:eastAsia="Calibri" w:hAnsi="Calibri"/>
                <w:sz w:val="16"/>
                <w:szCs w:val="16"/>
                <w:color w:val="auto"/>
              </w:rPr>
              <w:t>Changes in assets and liabilites, net of acquisitons: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Calibri" w:cs="Calibri" w:eastAsia="Calibri" w:hAnsi="Calibri"/>
                <w:sz w:val="16"/>
                <w:szCs w:val="16"/>
                <w:color w:val="auto"/>
              </w:rPr>
              <w:t>Receivables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3,702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35,913</w:t>
            </w: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Calibri" w:cs="Calibri" w:eastAsia="Calibri" w:hAnsi="Calibri"/>
                <w:sz w:val="16"/>
                <w:szCs w:val="16"/>
                <w:color w:val="auto"/>
              </w:rPr>
              <w:t>Prepaid expenses, other current and noncurrent assets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(2,669)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8,610</w:t>
            </w: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Calibri" w:cs="Calibri" w:eastAsia="Calibri" w:hAnsi="Calibri"/>
                <w:sz w:val="16"/>
                <w:szCs w:val="16"/>
                <w:color w:val="auto"/>
              </w:rPr>
              <w:t>Accounts payable, accrued expenses, salaries, wages and payroll taxes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(129,908)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(134,215)</w:t>
            </w: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Calibri" w:cs="Calibri" w:eastAsia="Calibri" w:hAnsi="Calibri"/>
                <w:sz w:val="16"/>
                <w:szCs w:val="16"/>
                <w:color w:val="auto"/>
              </w:rPr>
              <w:t>Deferred revenue, other current and noncurrent liabilites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(41,549)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(27,990)</w:t>
            </w: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Calibri" w:cs="Calibri" w:eastAsia="Calibri" w:hAnsi="Calibri"/>
                <w:sz w:val="16"/>
                <w:szCs w:val="16"/>
                <w:color w:val="auto"/>
              </w:rPr>
              <w:t>Income tax receivables, accrued income taxes and income tax reserves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(41,659)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(72,768)</w:t>
            </w: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Calibri" w:cs="Calibri" w:eastAsia="Calibri" w:hAnsi="Calibri"/>
                <w:sz w:val="16"/>
                <w:szCs w:val="16"/>
                <w:color w:val="auto"/>
              </w:rPr>
              <w:t>Other, net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(435)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(1,438)</w:t>
            </w:r>
          </w:p>
        </w:tc>
        <w:tc>
          <w:tcPr>
            <w:tcW w:w="0" w:type="dxa"/>
            <w:vAlign w:val="bottom"/>
          </w:tcPr>
          <w:p>
            <w:pPr>
              <w:spacing w:after="0"/>
              <w:rPr>
                <w:sz w:val="1"/>
                <w:szCs w:val="1"/>
                <w:color w:val="auto"/>
              </w:rPr>
            </w:pPr>
          </w:p>
        </w:tc>
      </w:tr>
      <w:tr>
        <w:trPr>
          <w:trHeight w:val="28"/>
        </w:trPr>
        <w:tc>
          <w:tcPr>
            <w:tcW w:w="7720" w:type="dxa"/>
            <w:vAlign w:val="bottom"/>
            <w:vMerge w:val="restart"/>
          </w:tcPr>
          <w:p>
            <w:pPr>
              <w:ind w:left="460"/>
              <w:spacing w:after="0"/>
              <w:rPr>
                <w:sz w:val="20"/>
                <w:szCs w:val="20"/>
                <w:color w:val="auto"/>
              </w:rPr>
            </w:pPr>
            <w:r>
              <w:rPr>
                <w:rFonts w:ascii="Calibri" w:cs="Calibri" w:eastAsia="Calibri" w:hAnsi="Calibri"/>
                <w:sz w:val="16"/>
                <w:szCs w:val="16"/>
                <w:color w:val="auto"/>
              </w:rPr>
              <w:t>Net cash used in operatng actvites</w:t>
            </w: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(321,666)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line="187" w:lineRule="exact"/>
              <w:rPr>
                <w:sz w:val="20"/>
                <w:szCs w:val="20"/>
                <w:color w:val="auto"/>
              </w:rPr>
            </w:pPr>
            <w:r>
              <w:rPr>
                <w:rFonts w:ascii="Calibri" w:cs="Calibri" w:eastAsia="Calibri" w:hAnsi="Calibri"/>
                <w:sz w:val="16"/>
                <w:szCs w:val="16"/>
                <w:color w:val="auto"/>
              </w:rPr>
              <w:t>(312,624)</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CASH FLOWS FROM INVESTING ACTIVITIES:</w:t>
            </w: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Capital expenditures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(16,161)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(15,620)</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Payments made for business acquisitons, net of cash acquired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(16,507)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(4,265)</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Franchise loans funded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(6,686)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(4,474)</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Payments from franchisees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2,270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2,839</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Other, net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2,067</w:t>
            </w:r>
          </w:p>
        </w:tc>
        <w:tc>
          <w:tcPr>
            <w:tcW w:w="0" w:type="dxa"/>
            <w:vAlign w:val="bottom"/>
          </w:tcPr>
          <w:p>
            <w:pPr>
              <w:spacing w:after="0"/>
              <w:rPr>
                <w:sz w:val="1"/>
                <w:szCs w:val="1"/>
                <w:color w:val="auto"/>
              </w:rPr>
            </w:pPr>
          </w:p>
        </w:tc>
      </w:tr>
      <w:tr>
        <w:trPr>
          <w:trHeight w:val="28"/>
        </w:trPr>
        <w:tc>
          <w:tcPr>
            <w:tcW w:w="7720" w:type="dxa"/>
            <w:vAlign w:val="bottom"/>
            <w:vMerge w:val="restart"/>
          </w:tcPr>
          <w:p>
            <w:pPr>
              <w:ind w:left="460"/>
              <w:spacing w:after="0"/>
              <w:rPr>
                <w:sz w:val="20"/>
                <w:szCs w:val="20"/>
                <w:color w:val="auto"/>
              </w:rPr>
            </w:pPr>
            <w:r>
              <w:rPr>
                <w:rFonts w:ascii="Calibri" w:cs="Calibri" w:eastAsia="Calibri" w:hAnsi="Calibri"/>
                <w:sz w:val="16"/>
                <w:szCs w:val="16"/>
                <w:color w:val="auto"/>
              </w:rPr>
              <w:t>Net cash used in investng actvites</w:t>
            </w: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(37,358)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line="187" w:lineRule="exact"/>
              <w:rPr>
                <w:sz w:val="20"/>
                <w:szCs w:val="20"/>
                <w:color w:val="auto"/>
              </w:rPr>
            </w:pPr>
            <w:r>
              <w:rPr>
                <w:rFonts w:ascii="Calibri" w:cs="Calibri" w:eastAsia="Calibri" w:hAnsi="Calibri"/>
                <w:sz w:val="16"/>
                <w:szCs w:val="16"/>
                <w:color w:val="auto"/>
              </w:rPr>
              <w:t>(19,453)</w:t>
            </w:r>
          </w:p>
        </w:tc>
        <w:tc>
          <w:tcPr>
            <w:tcW w:w="0" w:type="dxa"/>
            <w:vAlign w:val="bottom"/>
          </w:tcPr>
          <w:p>
            <w:pPr>
              <w:spacing w:after="0"/>
              <w:rPr>
                <w:sz w:val="1"/>
                <w:szCs w:val="1"/>
                <w:color w:val="auto"/>
              </w:rPr>
            </w:pPr>
          </w:p>
        </w:tc>
      </w:tr>
      <w:tr>
        <w:trPr>
          <w:trHeight w:val="22"/>
        </w:trPr>
        <w:tc>
          <w:tcPr>
            <w:tcW w:w="772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CASH FLOWS FROM FINANCING ACTIVITIES:</w:t>
            </w: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Dividends paid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(43,093)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(48,996)</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Repurchase of common stock, including shares surrendered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(202,845)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(165,800)</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Proceeds from exercise of stock optons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3,385</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Other, net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(955)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(5,911)</w:t>
            </w:r>
          </w:p>
        </w:tc>
        <w:tc>
          <w:tcPr>
            <w:tcW w:w="0" w:type="dxa"/>
            <w:vAlign w:val="bottom"/>
          </w:tcPr>
          <w:p>
            <w:pPr>
              <w:spacing w:after="0"/>
              <w:rPr>
                <w:sz w:val="1"/>
                <w:szCs w:val="1"/>
                <w:color w:val="auto"/>
              </w:rPr>
            </w:pPr>
          </w:p>
        </w:tc>
      </w:tr>
      <w:tr>
        <w:trPr>
          <w:trHeight w:val="28"/>
        </w:trPr>
        <w:tc>
          <w:tcPr>
            <w:tcW w:w="7720" w:type="dxa"/>
            <w:vAlign w:val="bottom"/>
            <w:vMerge w:val="restart"/>
          </w:tcPr>
          <w:p>
            <w:pPr>
              <w:ind w:left="340"/>
              <w:spacing w:after="0"/>
              <w:rPr>
                <w:sz w:val="20"/>
                <w:szCs w:val="20"/>
                <w:color w:val="auto"/>
              </w:rPr>
            </w:pPr>
            <w:r>
              <w:rPr>
                <w:rFonts w:ascii="Calibri" w:cs="Calibri" w:eastAsia="Calibri" w:hAnsi="Calibri"/>
                <w:sz w:val="16"/>
                <w:szCs w:val="16"/>
                <w:color w:val="auto"/>
              </w:rPr>
              <w:t>Net cash used in fnancing actvites</w:t>
            </w: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(246,893)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line="187" w:lineRule="exact"/>
              <w:rPr>
                <w:sz w:val="20"/>
                <w:szCs w:val="20"/>
                <w:color w:val="auto"/>
              </w:rPr>
            </w:pPr>
            <w:r>
              <w:rPr>
                <w:rFonts w:ascii="Calibri" w:cs="Calibri" w:eastAsia="Calibri" w:hAnsi="Calibri"/>
                <w:sz w:val="16"/>
                <w:szCs w:val="16"/>
                <w:color w:val="auto"/>
              </w:rPr>
              <w:t>(217,322)</w:t>
            </w:r>
          </w:p>
        </w:tc>
        <w:tc>
          <w:tcPr>
            <w:tcW w:w="0" w:type="dxa"/>
            <w:vAlign w:val="bottom"/>
          </w:tcPr>
          <w:p>
            <w:pPr>
              <w:spacing w:after="0"/>
              <w:rPr>
                <w:sz w:val="1"/>
                <w:szCs w:val="1"/>
                <w:color w:val="auto"/>
              </w:rPr>
            </w:pPr>
          </w:p>
        </w:tc>
      </w:tr>
      <w:tr>
        <w:trPr>
          <w:trHeight w:val="22"/>
        </w:trPr>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Calibri" w:cs="Calibri" w:eastAsia="Calibri" w:hAnsi="Calibri"/>
                <w:sz w:val="16"/>
                <w:szCs w:val="16"/>
                <w:color w:val="auto"/>
              </w:rPr>
              <w:t>Efects of exchange rate changes on cash</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(13,422)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(3,959)</w:t>
            </w:r>
          </w:p>
        </w:tc>
        <w:tc>
          <w:tcPr>
            <w:tcW w:w="0" w:type="dxa"/>
            <w:vAlign w:val="bottom"/>
          </w:tcPr>
          <w:p>
            <w:pPr>
              <w:spacing w:after="0"/>
              <w:rPr>
                <w:sz w:val="1"/>
                <w:szCs w:val="1"/>
                <w:color w:val="auto"/>
              </w:rPr>
            </w:pPr>
          </w:p>
        </w:tc>
      </w:tr>
      <w:tr>
        <w:trPr>
          <w:trHeight w:val="270"/>
        </w:trPr>
        <w:tc>
          <w:tcPr>
            <w:tcW w:w="7720" w:type="dxa"/>
            <w:vAlign w:val="bottom"/>
          </w:tcPr>
          <w:p>
            <w:pPr>
              <w:ind w:left="20"/>
              <w:spacing w:after="0"/>
              <w:rPr>
                <w:sz w:val="20"/>
                <w:szCs w:val="20"/>
                <w:color w:val="auto"/>
              </w:rPr>
            </w:pPr>
            <w:r>
              <w:rPr>
                <w:rFonts w:ascii="Calibri" w:cs="Calibri" w:eastAsia="Calibri" w:hAnsi="Calibri"/>
                <w:sz w:val="16"/>
                <w:szCs w:val="16"/>
                <w:color w:val="auto"/>
              </w:rPr>
              <w:t>Net decrease in cash and cash equivalents, including restricted balances</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(619,339)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(553,358)</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Calibri" w:cs="Calibri" w:eastAsia="Calibri" w:hAnsi="Calibri"/>
                <w:sz w:val="16"/>
                <w:szCs w:val="16"/>
                <w:color w:val="auto"/>
              </w:rPr>
              <w:t>Cash, cash equivalents and restricted cash, beginning of period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1,050,713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1,584,164</w:t>
            </w:r>
          </w:p>
        </w:tc>
        <w:tc>
          <w:tcPr>
            <w:tcW w:w="0" w:type="dxa"/>
            <w:vAlign w:val="bottom"/>
          </w:tcPr>
          <w:p>
            <w:pPr>
              <w:spacing w:after="0"/>
              <w:rPr>
                <w:sz w:val="1"/>
                <w:szCs w:val="1"/>
                <w:color w:val="auto"/>
              </w:rPr>
            </w:pPr>
          </w:p>
        </w:tc>
      </w:tr>
      <w:tr>
        <w:trPr>
          <w:trHeight w:val="28"/>
        </w:trPr>
        <w:tc>
          <w:tcPr>
            <w:tcW w:w="7720" w:type="dxa"/>
            <w:vAlign w:val="bottom"/>
            <w:vMerge w:val="restart"/>
          </w:tcPr>
          <w:p>
            <w:pPr>
              <w:ind w:left="20"/>
              <w:spacing w:after="0"/>
              <w:rPr>
                <w:sz w:val="20"/>
                <w:szCs w:val="20"/>
                <w:color w:val="auto"/>
              </w:rPr>
            </w:pPr>
            <w:r>
              <w:rPr>
                <w:rFonts w:ascii="Calibri" w:cs="Calibri" w:eastAsia="Calibri" w:hAnsi="Calibri"/>
                <w:sz w:val="16"/>
                <w:szCs w:val="16"/>
                <w:color w:val="auto"/>
              </w:rPr>
              <w:t>Cash, cash equivalents and restricted cash, end of period</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199"/>
              <w:spacing w:after="0" w:line="187" w:lineRule="exact"/>
              <w:rPr>
                <w:sz w:val="20"/>
                <w:szCs w:val="20"/>
                <w:color w:val="auto"/>
              </w:rPr>
            </w:pPr>
            <w:r>
              <w:rPr>
                <w:rFonts w:ascii="Calibri" w:cs="Calibri" w:eastAsia="Calibri" w:hAnsi="Calibri"/>
                <w:sz w:val="16"/>
                <w:szCs w:val="16"/>
                <w:b w:val="1"/>
                <w:bCs w:val="1"/>
                <w:color w:val="auto"/>
                <w:w w:val="73"/>
              </w:rPr>
              <w:t>$</w:t>
            </w:r>
          </w:p>
        </w:tc>
        <w:tc>
          <w:tcPr>
            <w:tcW w:w="130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b w:val="1"/>
                <w:bCs w:val="1"/>
                <w:color w:val="auto"/>
              </w:rPr>
              <w:t>431,374</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73"/>
              </w:rPr>
              <w:t>$</w:t>
            </w:r>
          </w:p>
        </w:tc>
        <w:tc>
          <w:tcPr>
            <w:tcW w:w="13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1,030,806</w:t>
            </w:r>
          </w:p>
        </w:tc>
        <w:tc>
          <w:tcPr>
            <w:tcW w:w="0" w:type="dxa"/>
            <w:vAlign w:val="bottom"/>
          </w:tcPr>
          <w:p>
            <w:pPr>
              <w:spacing w:after="0"/>
              <w:rPr>
                <w:sz w:val="1"/>
                <w:szCs w:val="1"/>
                <w:color w:val="auto"/>
              </w:rPr>
            </w:pPr>
          </w:p>
        </w:tc>
      </w:tr>
      <w:tr>
        <w:trPr>
          <w:trHeight w:val="22"/>
        </w:trPr>
        <w:tc>
          <w:tcPr>
            <w:tcW w:w="772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SUPPLEMENTARY CASH FLOW DATA:</w:t>
            </w: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Income taxes paid (received), net</w:t>
            </w:r>
          </w:p>
        </w:tc>
        <w:tc>
          <w:tcPr>
            <w:tcW w:w="460" w:type="dxa"/>
            <w:vAlign w:val="bottom"/>
            <w:gridSpan w:val="2"/>
          </w:tcPr>
          <w:p>
            <w:pPr>
              <w:jc w:val="right"/>
              <w:ind w:right="199"/>
              <w:spacing w:after="0"/>
              <w:rPr>
                <w:sz w:val="20"/>
                <w:szCs w:val="20"/>
                <w:color w:val="auto"/>
              </w:rPr>
            </w:pPr>
            <w:r>
              <w:rPr>
                <w:rFonts w:ascii="Calibri" w:cs="Calibri" w:eastAsia="Calibri" w:hAnsi="Calibri"/>
                <w:sz w:val="16"/>
                <w:szCs w:val="16"/>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(29,811)</w:t>
            </w:r>
          </w:p>
        </w:tc>
        <w:tc>
          <w:tcPr>
            <w:tcW w:w="360" w:type="dxa"/>
            <w:vAlign w:val="bottom"/>
            <w:gridSpan w:val="2"/>
          </w:tcPr>
          <w:p>
            <w:pPr>
              <w:jc w:val="right"/>
              <w:ind w:right="99"/>
              <w:spacing w:after="0"/>
              <w:rPr>
                <w:sz w:val="20"/>
                <w:szCs w:val="20"/>
                <w:color w:val="auto"/>
              </w:rPr>
            </w:pPr>
            <w:r>
              <w:rPr>
                <w:rFonts w:ascii="Calibri" w:cs="Calibri" w:eastAsia="Calibri" w:hAnsi="Calibri"/>
                <w:sz w:val="16"/>
                <w:szCs w:val="16"/>
                <w:color w:val="auto"/>
              </w:rPr>
              <w:t>$</w:t>
            </w:r>
          </w:p>
        </w:tc>
        <w:tc>
          <w:tcPr>
            <w:tcW w:w="1380" w:type="dxa"/>
            <w:vAlign w:val="bottom"/>
          </w:tcPr>
          <w:p>
            <w:pPr>
              <w:jc w:val="right"/>
              <w:spacing w:after="0"/>
              <w:rPr>
                <w:sz w:val="20"/>
                <w:szCs w:val="20"/>
                <w:color w:val="auto"/>
              </w:rPr>
            </w:pPr>
            <w:r>
              <w:rPr>
                <w:rFonts w:ascii="Calibri" w:cs="Calibri" w:eastAsia="Calibri" w:hAnsi="Calibri"/>
                <w:sz w:val="16"/>
                <w:szCs w:val="16"/>
                <w:color w:val="auto"/>
              </w:rPr>
              <w:t>38,419</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Interest paid on borrowings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19,792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12,594</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Accrued purchase of common stock</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32,356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4,785</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Accrued additons to property and equipment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4,704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6,273</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New operatng right of use assets and related lease liabilites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52,265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29,371</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Calibri" w:cs="Calibri" w:eastAsia="Calibri" w:hAnsi="Calibri"/>
                <w:sz w:val="16"/>
                <w:szCs w:val="16"/>
                <w:color w:val="auto"/>
              </w:rPr>
              <w:t>Accrued dividends payable to common shareholders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46,100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alibri" w:cs="Calibri" w:eastAsia="Calibri" w:hAnsi="Calibri"/>
                <w:sz w:val="16"/>
                <w:szCs w:val="16"/>
                <w:color w:val="auto"/>
              </w:rPr>
              <w:t>47,940</w:t>
            </w:r>
          </w:p>
        </w:tc>
        <w:tc>
          <w:tcPr>
            <w:tcW w:w="0" w:type="dxa"/>
            <w:vAlign w:val="bottom"/>
          </w:tcPr>
          <w:p>
            <w:pPr>
              <w:spacing w:after="0"/>
              <w:rPr>
                <w:sz w:val="1"/>
                <w:szCs w:val="1"/>
                <w:color w:val="auto"/>
              </w:rPr>
            </w:pPr>
          </w:p>
        </w:tc>
      </w:tr>
      <w:tr>
        <w:trPr>
          <w:trHeight w:val="81"/>
        </w:trPr>
        <w:tc>
          <w:tcPr>
            <w:tcW w:w="7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5689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568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(in 000s)</w:t>
            </w:r>
          </w:p>
        </w:tc>
        <w:tc>
          <w:tcPr>
            <w:tcW w:w="0" w:type="dxa"/>
            <w:vAlign w:val="bottom"/>
          </w:tcPr>
          <w:p>
            <w:pPr>
              <w:spacing w:after="0"/>
              <w:rPr>
                <w:sz w:val="1"/>
                <w:szCs w:val="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7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0" w:type="dxa"/>
            <w:vAlign w:val="bottom"/>
            <w:tcBorders>
              <w:bottom w:val="single" w:sz="8" w:color="99CC33"/>
            </w:tcBorders>
            <w:shd w:val="clear" w:color="auto" w:fill="99CC33"/>
          </w:tcPr>
          <w:p>
            <w:pPr>
              <w:spacing w:after="0"/>
              <w:rPr>
                <w:sz w:val="18"/>
                <w:szCs w:val="18"/>
                <w:color w:val="auto"/>
              </w:rPr>
            </w:pPr>
          </w:p>
        </w:tc>
        <w:tc>
          <w:tcPr>
            <w:tcW w:w="3140" w:type="dxa"/>
            <w:vAlign w:val="bottom"/>
            <w:tcBorders>
              <w:bottom w:val="single" w:sz="8" w:color="99CC33"/>
              <w:right w:val="single" w:sz="8" w:color="auto"/>
            </w:tcBorders>
            <w:gridSpan w:val="4"/>
            <w:shd w:val="clear" w:color="auto" w:fill="99CC33"/>
          </w:tcPr>
          <w:p>
            <w:pPr>
              <w:jc w:val="right"/>
              <w:ind w:right="480"/>
              <w:spacing w:after="0" w:line="187" w:lineRule="exact"/>
              <w:rPr>
                <w:sz w:val="20"/>
                <w:szCs w:val="20"/>
                <w:color w:val="auto"/>
              </w:rPr>
            </w:pPr>
            <w:r>
              <w:rPr>
                <w:rFonts w:ascii="Calibri" w:cs="Calibri" w:eastAsia="Calibri" w:hAnsi="Calibri"/>
                <w:sz w:val="16"/>
                <w:szCs w:val="16"/>
                <w:color w:val="auto"/>
              </w:rPr>
              <w:t>Three months ended September 30,</w:t>
            </w:r>
          </w:p>
        </w:tc>
        <w:tc>
          <w:tcPr>
            <w:tcW w:w="0" w:type="dxa"/>
            <w:vAlign w:val="bottom"/>
          </w:tcPr>
          <w:p>
            <w:pPr>
              <w:spacing w:after="0"/>
              <w:rPr>
                <w:sz w:val="1"/>
                <w:szCs w:val="1"/>
                <w:color w:val="auto"/>
              </w:rPr>
            </w:pPr>
          </w:p>
        </w:tc>
      </w:tr>
      <w:tr>
        <w:trPr>
          <w:trHeight w:val="217"/>
        </w:trPr>
        <w:tc>
          <w:tcPr>
            <w:tcW w:w="40" w:type="dxa"/>
            <w:vAlign w:val="bottom"/>
            <w:tcBorders>
              <w:top w:val="single" w:sz="8" w:color="auto"/>
              <w:bottom w:val="single" w:sz="8" w:color="auto"/>
              <w:right w:val="single" w:sz="8" w:color="99CC00"/>
            </w:tcBorders>
            <w:shd w:val="clear" w:color="auto" w:fill="000000"/>
          </w:tcPr>
          <w:p>
            <w:pPr>
              <w:spacing w:after="0"/>
              <w:rPr>
                <w:sz w:val="18"/>
                <w:szCs w:val="18"/>
                <w:color w:val="auto"/>
              </w:rPr>
            </w:pPr>
          </w:p>
        </w:tc>
        <w:tc>
          <w:tcPr>
            <w:tcW w:w="7660" w:type="dxa"/>
            <w:vAlign w:val="bottom"/>
            <w:tcBorders>
              <w:top w:val="single" w:sz="8" w:color="auto"/>
              <w:bottom w:val="single" w:sz="8" w:color="auto"/>
              <w:right w:val="single" w:sz="8" w:color="auto"/>
            </w:tcBorders>
            <w:shd w:val="clear" w:color="auto" w:fill="99CC00"/>
          </w:tcPr>
          <w:p>
            <w:pPr>
              <w:spacing w:after="0" w:line="215" w:lineRule="exact"/>
              <w:rPr>
                <w:sz w:val="20"/>
                <w:szCs w:val="20"/>
                <w:color w:val="auto"/>
              </w:rPr>
            </w:pPr>
            <w:r>
              <w:rPr>
                <w:rFonts w:ascii="Calibri" w:cs="Calibri" w:eastAsia="Calibri" w:hAnsi="Calibri"/>
                <w:sz w:val="18"/>
                <w:szCs w:val="18"/>
                <w:b w:val="1"/>
                <w:bCs w:val="1"/>
                <w:color w:val="auto"/>
              </w:rPr>
              <w:t>NON-GAAP FINANCIAL MEASURE - EBITDA</w:t>
            </w:r>
          </w:p>
        </w:tc>
        <w:tc>
          <w:tcPr>
            <w:tcW w:w="12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tcBorders>
            <w:shd w:val="clear" w:color="auto" w:fill="99CC33"/>
          </w:tcPr>
          <w:p>
            <w:pPr>
              <w:spacing w:after="0"/>
              <w:rPr>
                <w:sz w:val="18"/>
                <w:szCs w:val="18"/>
                <w:color w:val="auto"/>
              </w:rPr>
            </w:pPr>
          </w:p>
        </w:tc>
        <w:tc>
          <w:tcPr>
            <w:tcW w:w="1360" w:type="dxa"/>
            <w:vAlign w:val="bottom"/>
            <w:tcBorders>
              <w:top w:val="single" w:sz="8" w:color="auto"/>
              <w:bottom w:val="single" w:sz="8" w:color="auto"/>
              <w:right w:val="single" w:sz="8" w:color="auto"/>
            </w:tcBorders>
            <w:shd w:val="clear" w:color="auto" w:fill="99CC33"/>
          </w:tcPr>
          <w:p>
            <w:pPr>
              <w:jc w:val="right"/>
              <w:ind w:right="599"/>
              <w:spacing w:after="0"/>
              <w:rPr>
                <w:sz w:val="20"/>
                <w:szCs w:val="20"/>
                <w:color w:val="auto"/>
              </w:rPr>
            </w:pPr>
            <w:r>
              <w:rPr>
                <w:rFonts w:ascii="Calibri" w:cs="Calibri" w:eastAsia="Calibri" w:hAnsi="Calibri"/>
                <w:sz w:val="16"/>
                <w:szCs w:val="16"/>
                <w:b w:val="1"/>
                <w:bCs w:val="1"/>
                <w:color w:val="auto"/>
              </w:rPr>
              <w:t>2022</w:t>
            </w:r>
          </w:p>
        </w:tc>
        <w:tc>
          <w:tcPr>
            <w:tcW w:w="12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bottom w:val="single" w:sz="8" w:color="auto"/>
            </w:tcBorders>
            <w:shd w:val="clear" w:color="auto" w:fill="99CC33"/>
          </w:tcPr>
          <w:p>
            <w:pPr>
              <w:spacing w:after="0"/>
              <w:rPr>
                <w:sz w:val="18"/>
                <w:szCs w:val="18"/>
                <w:color w:val="auto"/>
              </w:rPr>
            </w:pPr>
          </w:p>
        </w:tc>
        <w:tc>
          <w:tcPr>
            <w:tcW w:w="1300" w:type="dxa"/>
            <w:vAlign w:val="bottom"/>
            <w:tcBorders>
              <w:top w:val="single" w:sz="8" w:color="auto"/>
              <w:bottom w:val="single" w:sz="8" w:color="auto"/>
              <w:right w:val="single" w:sz="8" w:color="auto"/>
            </w:tcBorders>
            <w:shd w:val="clear" w:color="auto" w:fill="99CC33"/>
          </w:tcPr>
          <w:p>
            <w:pPr>
              <w:jc w:val="right"/>
              <w:ind w:right="620"/>
              <w:spacing w:after="0"/>
              <w:rPr>
                <w:sz w:val="20"/>
                <w:szCs w:val="20"/>
                <w:color w:val="auto"/>
              </w:rPr>
            </w:pPr>
            <w:r>
              <w:rPr>
                <w:rFonts w:ascii="Calibri" w:cs="Calibri" w:eastAsia="Calibri" w:hAnsi="Calibri"/>
                <w:sz w:val="16"/>
                <w:szCs w:val="16"/>
                <w:color w:val="auto"/>
              </w:rPr>
              <w:t>2021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Calibri" w:cs="Calibri" w:eastAsia="Calibri" w:hAnsi="Calibri"/>
                <w:sz w:val="16"/>
                <w:szCs w:val="16"/>
                <w:color w:val="auto"/>
              </w:rPr>
              <w:t>Net loss - as reported</w:t>
            </w:r>
          </w:p>
        </w:tc>
        <w:tc>
          <w:tcPr>
            <w:tcW w:w="280" w:type="dxa"/>
            <w:vAlign w:val="bottom"/>
          </w:tcPr>
          <w:p>
            <w:pPr>
              <w:jc w:val="right"/>
              <w:ind w:right="164"/>
              <w:spacing w:after="0"/>
              <w:rPr>
                <w:sz w:val="20"/>
                <w:szCs w:val="20"/>
                <w:color w:val="auto"/>
              </w:rPr>
            </w:pPr>
            <w:r>
              <w:rPr>
                <w:rFonts w:ascii="Calibri" w:cs="Calibri" w:eastAsia="Calibri" w:hAnsi="Calibri"/>
                <w:sz w:val="11"/>
                <w:szCs w:val="11"/>
                <w:b w:val="1"/>
                <w:bCs w:val="1"/>
                <w:color w:val="auto"/>
                <w:w w:val="70"/>
              </w:rPr>
              <w:t>$</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(168,421)</w:t>
            </w:r>
          </w:p>
        </w:tc>
        <w:tc>
          <w:tcPr>
            <w:tcW w:w="480" w:type="dxa"/>
            <w:vAlign w:val="bottom"/>
            <w:gridSpan w:val="2"/>
          </w:tcPr>
          <w:p>
            <w:pPr>
              <w:jc w:val="right"/>
              <w:ind w:right="227"/>
              <w:spacing w:after="0"/>
              <w:rPr>
                <w:sz w:val="20"/>
                <w:szCs w:val="20"/>
                <w:color w:val="auto"/>
              </w:rPr>
            </w:pPr>
            <w:r>
              <w:rPr>
                <w:rFonts w:ascii="Calibri" w:cs="Calibri" w:eastAsia="Calibri" w:hAnsi="Calibri"/>
                <w:sz w:val="16"/>
                <w:szCs w:val="16"/>
                <w:color w:val="auto"/>
              </w:rPr>
              <w:t>$</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(151,601)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Calibri" w:cs="Calibri" w:eastAsia="Calibri" w:hAnsi="Calibri"/>
                <w:sz w:val="16"/>
                <w:szCs w:val="16"/>
                <w:color w:val="auto"/>
              </w:rPr>
              <w:t>Discontnued operatons,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1,054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Calibri" w:cs="Calibri" w:eastAsia="Calibri" w:hAnsi="Calibri"/>
                <w:sz w:val="16"/>
                <w:szCs w:val="16"/>
                <w:color w:val="auto"/>
              </w:rPr>
              <w:t>1,656</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7780" w:type="dxa"/>
            <w:vAlign w:val="bottom"/>
            <w:gridSpan w:val="2"/>
            <w:vMerge w:val="restart"/>
          </w:tcPr>
          <w:p>
            <w:pPr>
              <w:spacing w:after="0"/>
              <w:rPr>
                <w:sz w:val="20"/>
                <w:szCs w:val="20"/>
                <w:color w:val="auto"/>
              </w:rPr>
            </w:pPr>
            <w:r>
              <w:rPr>
                <w:rFonts w:ascii="Calibri" w:cs="Calibri" w:eastAsia="Calibri" w:hAnsi="Calibri"/>
                <w:sz w:val="16"/>
                <w:szCs w:val="16"/>
                <w:color w:val="auto"/>
              </w:rPr>
              <w:t>Net loss from contnuing operatons - as reported</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7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(167,367)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7" w:lineRule="exact"/>
              <w:rPr>
                <w:sz w:val="20"/>
                <w:szCs w:val="20"/>
                <w:color w:val="auto"/>
              </w:rPr>
            </w:pPr>
            <w:r>
              <w:rPr>
                <w:rFonts w:ascii="Calibri" w:cs="Calibri" w:eastAsia="Calibri" w:hAnsi="Calibri"/>
                <w:sz w:val="16"/>
                <w:szCs w:val="16"/>
                <w:color w:val="auto"/>
              </w:rPr>
              <w:t>(149,945)</w:t>
            </w:r>
          </w:p>
        </w:tc>
        <w:tc>
          <w:tcPr>
            <w:tcW w:w="0" w:type="dxa"/>
            <w:vAlign w:val="bottom"/>
          </w:tcPr>
          <w:p>
            <w:pPr>
              <w:spacing w:after="0"/>
              <w:rPr>
                <w:sz w:val="1"/>
                <w:szCs w:val="1"/>
                <w:color w:val="auto"/>
              </w:rPr>
            </w:pPr>
          </w:p>
        </w:tc>
      </w:tr>
      <w:tr>
        <w:trPr>
          <w:trHeight w:val="23"/>
        </w:trPr>
        <w:tc>
          <w:tcPr>
            <w:tcW w:w="40" w:type="dxa"/>
            <w:vAlign w:val="bottom"/>
            <w:vMerge w:val="restart"/>
          </w:tcPr>
          <w:p>
            <w:pPr>
              <w:spacing w:after="0" w:line="20" w:lineRule="exact"/>
              <w:rPr>
                <w:sz w:val="1"/>
                <w:szCs w:val="1"/>
                <w:color w:val="auto"/>
              </w:rPr>
            </w:pPr>
          </w:p>
        </w:tc>
        <w:tc>
          <w:tcPr>
            <w:tcW w:w="7780" w:type="dxa"/>
            <w:vAlign w:val="bottom"/>
            <w:gridSpan w:val="2"/>
            <w:vMerge w:val="restart"/>
          </w:tcPr>
          <w:p>
            <w:pPr>
              <w:spacing w:after="0"/>
              <w:rPr>
                <w:sz w:val="20"/>
                <w:szCs w:val="20"/>
                <w:color w:val="auto"/>
              </w:rPr>
            </w:pPr>
            <w:r>
              <w:rPr>
                <w:rFonts w:ascii="Calibri" w:cs="Calibri" w:eastAsia="Calibri" w:hAnsi="Calibri"/>
                <w:sz w:val="16"/>
                <w:szCs w:val="16"/>
                <w:color w:val="auto"/>
              </w:rPr>
              <w:t>Add back:</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40" w:type="dxa"/>
            <w:vAlign w:val="bottom"/>
            <w:vMerge w:val="continue"/>
          </w:tcPr>
          <w:p>
            <w:pPr>
              <w:spacing w:after="0"/>
              <w:rPr>
                <w:sz w:val="14"/>
                <w:szCs w:val="14"/>
                <w:color w:val="auto"/>
              </w:rPr>
            </w:pPr>
          </w:p>
        </w:tc>
        <w:tc>
          <w:tcPr>
            <w:tcW w:w="7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gridSpan w:val="2"/>
          </w:tcPr>
          <w:p>
            <w:pPr>
              <w:ind w:left="100"/>
              <w:spacing w:after="0"/>
              <w:rPr>
                <w:sz w:val="20"/>
                <w:szCs w:val="20"/>
                <w:color w:val="auto"/>
              </w:rPr>
            </w:pPr>
            <w:r>
              <w:rPr>
                <w:rFonts w:ascii="Calibri" w:cs="Calibri" w:eastAsia="Calibri" w:hAnsi="Calibri"/>
                <w:sz w:val="16"/>
                <w:szCs w:val="16"/>
                <w:color w:val="auto"/>
              </w:rPr>
              <w:t>Income tax beneft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(53,957)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color w:val="auto"/>
              </w:rPr>
              <w:t>(47,373)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gridSpan w:val="2"/>
          </w:tcPr>
          <w:p>
            <w:pPr>
              <w:ind w:left="100"/>
              <w:spacing w:after="0"/>
              <w:rPr>
                <w:sz w:val="20"/>
                <w:szCs w:val="20"/>
                <w:color w:val="auto"/>
              </w:rPr>
            </w:pPr>
            <w:r>
              <w:rPr>
                <w:rFonts w:ascii="Calibri" w:cs="Calibri" w:eastAsia="Calibri" w:hAnsi="Calibri"/>
                <w:sz w:val="16"/>
                <w:szCs w:val="16"/>
                <w:color w:val="auto"/>
              </w:rPr>
              <w:t>Interest expense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15,824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Calibri" w:cs="Calibri" w:eastAsia="Calibri" w:hAnsi="Calibri"/>
                <w:sz w:val="16"/>
                <w:szCs w:val="16"/>
                <w:color w:val="auto"/>
              </w:rPr>
              <w:t>22,830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gridSpan w:val="2"/>
          </w:tcPr>
          <w:p>
            <w:pPr>
              <w:ind w:left="100"/>
              <w:spacing w:after="0"/>
              <w:rPr>
                <w:sz w:val="20"/>
                <w:szCs w:val="20"/>
                <w:color w:val="auto"/>
              </w:rPr>
            </w:pPr>
            <w:r>
              <w:rPr>
                <w:rFonts w:ascii="Calibri" w:cs="Calibri" w:eastAsia="Calibri" w:hAnsi="Calibri"/>
                <w:sz w:val="16"/>
                <w:szCs w:val="16"/>
                <w:color w:val="auto"/>
              </w:rPr>
              <w:t>Depreciaton and amortzaton</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33,624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Calibri" w:cs="Calibri" w:eastAsia="Calibri" w:hAnsi="Calibri"/>
                <w:sz w:val="16"/>
                <w:szCs w:val="16"/>
                <w:color w:val="auto"/>
              </w:rPr>
              <w:t>35,715</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(4,509)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20"/>
              <w:spacing w:after="0" w:line="187" w:lineRule="exact"/>
              <w:rPr>
                <w:sz w:val="20"/>
                <w:szCs w:val="20"/>
                <w:color w:val="auto"/>
              </w:rPr>
            </w:pPr>
            <w:r>
              <w:rPr>
                <w:rFonts w:ascii="Calibri" w:cs="Calibri" w:eastAsia="Calibri" w:hAnsi="Calibri"/>
                <w:sz w:val="16"/>
                <w:szCs w:val="16"/>
                <w:color w:val="auto"/>
              </w:rPr>
              <w:t>11,172</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780" w:type="dxa"/>
            <w:vAlign w:val="bottom"/>
            <w:gridSpan w:val="2"/>
            <w:vMerge w:val="restart"/>
          </w:tcPr>
          <w:p>
            <w:pPr>
              <w:spacing w:after="0"/>
              <w:rPr>
                <w:sz w:val="20"/>
                <w:szCs w:val="20"/>
                <w:color w:val="auto"/>
              </w:rPr>
            </w:pPr>
            <w:r>
              <w:rPr>
                <w:rFonts w:ascii="Calibri" w:cs="Calibri" w:eastAsia="Calibri" w:hAnsi="Calibri"/>
                <w:sz w:val="16"/>
                <w:szCs w:val="16"/>
                <w:color w:val="auto"/>
              </w:rPr>
              <w:t>EBITDA from contnuing operatons</w:t>
            </w: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78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ind w:right="164"/>
              <w:spacing w:after="0"/>
              <w:rPr>
                <w:sz w:val="20"/>
                <w:szCs w:val="20"/>
                <w:color w:val="auto"/>
              </w:rPr>
            </w:pPr>
            <w:r>
              <w:rPr>
                <w:rFonts w:ascii="Calibri" w:cs="Calibri" w:eastAsia="Calibri" w:hAnsi="Calibri"/>
                <w:sz w:val="11"/>
                <w:szCs w:val="11"/>
                <w:b w:val="1"/>
                <w:bCs w:val="1"/>
                <w:color w:val="auto"/>
                <w:w w:val="70"/>
              </w:rPr>
              <w:t>$</w:t>
            </w: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(171,876)</w:t>
            </w:r>
          </w:p>
        </w:tc>
        <w:tc>
          <w:tcPr>
            <w:tcW w:w="120" w:type="dxa"/>
            <w:vAlign w:val="bottom"/>
          </w:tcPr>
          <w:p>
            <w:pPr>
              <w:spacing w:after="0"/>
              <w:rPr>
                <w:sz w:val="16"/>
                <w:szCs w:val="16"/>
                <w:color w:val="auto"/>
              </w:rPr>
            </w:pPr>
          </w:p>
        </w:tc>
        <w:tc>
          <w:tcPr>
            <w:tcW w:w="360" w:type="dxa"/>
            <w:vAlign w:val="bottom"/>
            <w:tcBorders>
              <w:top w:val="single" w:sz="8" w:color="auto"/>
            </w:tcBorders>
          </w:tcPr>
          <w:p>
            <w:pPr>
              <w:jc w:val="right"/>
              <w:ind w:right="227"/>
              <w:spacing w:after="0"/>
              <w:rPr>
                <w:sz w:val="20"/>
                <w:szCs w:val="20"/>
                <w:color w:val="auto"/>
              </w:rPr>
            </w:pPr>
            <w:r>
              <w:rPr>
                <w:rFonts w:ascii="Calibri" w:cs="Calibri" w:eastAsia="Calibri" w:hAnsi="Calibri"/>
                <w:sz w:val="11"/>
                <w:szCs w:val="11"/>
                <w:color w:val="auto"/>
                <w:w w:val="70"/>
              </w:rPr>
              <w:t>$</w:t>
            </w:r>
          </w:p>
        </w:tc>
        <w:tc>
          <w:tcPr>
            <w:tcW w:w="13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(138,773)</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4"/>
          </w:tcPr>
          <w:p>
            <w:pPr>
              <w:jc w:val="right"/>
              <w:spacing w:after="0"/>
              <w:rPr>
                <w:sz w:val="20"/>
                <w:szCs w:val="20"/>
                <w:color w:val="auto"/>
              </w:rPr>
            </w:pPr>
            <w:r>
              <w:rPr>
                <w:rFonts w:ascii="Calibri" w:cs="Calibri" w:eastAsia="Calibri" w:hAnsi="Calibri"/>
                <w:sz w:val="14"/>
                <w:szCs w:val="14"/>
                <w:color w:val="auto"/>
              </w:rPr>
              <w:t>(in 000s, except per share amounts)</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0" w:type="dxa"/>
            <w:vAlign w:val="bottom"/>
            <w:tcBorders>
              <w:bottom w:val="single" w:sz="8" w:color="99CC33"/>
            </w:tcBorders>
            <w:shd w:val="clear" w:color="auto" w:fill="99CC33"/>
          </w:tcPr>
          <w:p>
            <w:pPr>
              <w:spacing w:after="0"/>
              <w:rPr>
                <w:sz w:val="18"/>
                <w:szCs w:val="18"/>
                <w:color w:val="auto"/>
              </w:rPr>
            </w:pPr>
          </w:p>
        </w:tc>
        <w:tc>
          <w:tcPr>
            <w:tcW w:w="3140" w:type="dxa"/>
            <w:vAlign w:val="bottom"/>
            <w:tcBorders>
              <w:bottom w:val="single" w:sz="8" w:color="99CC33"/>
              <w:right w:val="single" w:sz="8" w:color="auto"/>
            </w:tcBorders>
            <w:gridSpan w:val="4"/>
            <w:shd w:val="clear" w:color="auto" w:fill="99CC33"/>
          </w:tcPr>
          <w:p>
            <w:pPr>
              <w:jc w:val="right"/>
              <w:ind w:right="460"/>
              <w:spacing w:after="0" w:line="187" w:lineRule="exact"/>
              <w:rPr>
                <w:sz w:val="20"/>
                <w:szCs w:val="20"/>
                <w:color w:val="auto"/>
              </w:rPr>
            </w:pPr>
            <w:r>
              <w:rPr>
                <w:rFonts w:ascii="Calibri" w:cs="Calibri" w:eastAsia="Calibri" w:hAnsi="Calibri"/>
                <w:sz w:val="16"/>
                <w:szCs w:val="16"/>
                <w:color w:val="auto"/>
              </w:rPr>
              <w:t>Three months ended September 30,</w:t>
            </w: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7660" w:type="dxa"/>
            <w:vAlign w:val="bottom"/>
            <w:tcBorders>
              <w:top w:val="single" w:sz="8" w:color="auto"/>
              <w:bottom w:val="single" w:sz="8" w:color="auto"/>
              <w:right w:val="single" w:sz="8" w:color="auto"/>
            </w:tcBorders>
            <w:shd w:val="clear" w:color="auto" w:fill="99CC00"/>
          </w:tcPr>
          <w:p>
            <w:pPr>
              <w:ind w:left="20"/>
              <w:spacing w:after="0" w:line="215" w:lineRule="exact"/>
              <w:rPr>
                <w:sz w:val="20"/>
                <w:szCs w:val="20"/>
                <w:color w:val="auto"/>
              </w:rPr>
            </w:pPr>
            <w:r>
              <w:rPr>
                <w:rFonts w:ascii="Calibri" w:cs="Calibri" w:eastAsia="Calibri" w:hAnsi="Calibri"/>
                <w:sz w:val="18"/>
                <w:szCs w:val="18"/>
                <w:b w:val="1"/>
                <w:bCs w:val="1"/>
                <w:color w:val="auto"/>
              </w:rPr>
              <w:t>NON-GAAP FINANCIAL MEASURE - ADJUSTED EPS</w:t>
            </w:r>
          </w:p>
        </w:tc>
        <w:tc>
          <w:tcPr>
            <w:tcW w:w="12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tcBorders>
            <w:shd w:val="clear" w:color="auto" w:fill="99CC33"/>
          </w:tcPr>
          <w:p>
            <w:pPr>
              <w:spacing w:after="0"/>
              <w:rPr>
                <w:sz w:val="18"/>
                <w:szCs w:val="18"/>
                <w:color w:val="auto"/>
              </w:rPr>
            </w:pPr>
          </w:p>
        </w:tc>
        <w:tc>
          <w:tcPr>
            <w:tcW w:w="1360" w:type="dxa"/>
            <w:vAlign w:val="bottom"/>
            <w:tcBorders>
              <w:top w:val="single" w:sz="8" w:color="auto"/>
              <w:bottom w:val="single" w:sz="8" w:color="auto"/>
              <w:right w:val="single" w:sz="8" w:color="99CC33"/>
            </w:tcBorders>
            <w:shd w:val="clear" w:color="auto" w:fill="99CC33"/>
          </w:tcPr>
          <w:p>
            <w:pPr>
              <w:jc w:val="right"/>
              <w:ind w:right="579"/>
              <w:spacing w:after="0"/>
              <w:rPr>
                <w:sz w:val="20"/>
                <w:szCs w:val="20"/>
                <w:color w:val="auto"/>
              </w:rPr>
            </w:pPr>
            <w:r>
              <w:rPr>
                <w:rFonts w:ascii="Calibri" w:cs="Calibri" w:eastAsia="Calibri" w:hAnsi="Calibri"/>
                <w:sz w:val="16"/>
                <w:szCs w:val="16"/>
                <w:b w:val="1"/>
                <w:bCs w:val="1"/>
                <w:color w:val="auto"/>
              </w:rPr>
              <w:t>2022</w:t>
            </w:r>
          </w:p>
        </w:tc>
        <w:tc>
          <w:tcPr>
            <w:tcW w:w="120" w:type="dxa"/>
            <w:vAlign w:val="bottom"/>
            <w:tcBorders>
              <w:top w:val="single" w:sz="8" w:color="auto"/>
              <w:left w:val="single" w:sz="8" w:color="auto"/>
              <w:right w:val="single" w:sz="8" w:color="auto"/>
            </w:tcBorders>
          </w:tcPr>
          <w:p>
            <w:pPr>
              <w:spacing w:after="0"/>
              <w:rPr>
                <w:sz w:val="18"/>
                <w:szCs w:val="18"/>
                <w:color w:val="auto"/>
              </w:rPr>
            </w:pPr>
          </w:p>
        </w:tc>
        <w:tc>
          <w:tcPr>
            <w:tcW w:w="360" w:type="dxa"/>
            <w:vAlign w:val="bottom"/>
            <w:tcBorders>
              <w:top w:val="single" w:sz="8" w:color="auto"/>
              <w:bottom w:val="single" w:sz="8" w:color="auto"/>
            </w:tcBorders>
            <w:shd w:val="clear" w:color="auto" w:fill="99CC33"/>
          </w:tcPr>
          <w:p>
            <w:pPr>
              <w:spacing w:after="0"/>
              <w:rPr>
                <w:sz w:val="18"/>
                <w:szCs w:val="18"/>
                <w:color w:val="auto"/>
              </w:rPr>
            </w:pPr>
          </w:p>
        </w:tc>
        <w:tc>
          <w:tcPr>
            <w:tcW w:w="1300" w:type="dxa"/>
            <w:vAlign w:val="bottom"/>
            <w:tcBorders>
              <w:top w:val="single" w:sz="8" w:color="auto"/>
              <w:bottom w:val="single" w:sz="8" w:color="auto"/>
              <w:right w:val="single" w:sz="8" w:color="auto"/>
            </w:tcBorders>
            <w:shd w:val="clear" w:color="auto" w:fill="99CC33"/>
          </w:tcPr>
          <w:p>
            <w:pPr>
              <w:jc w:val="right"/>
              <w:ind w:right="600"/>
              <w:spacing w:after="0"/>
              <w:rPr>
                <w:sz w:val="20"/>
                <w:szCs w:val="20"/>
                <w:color w:val="auto"/>
              </w:rPr>
            </w:pPr>
            <w:r>
              <w:rPr>
                <w:rFonts w:ascii="Calibri" w:cs="Calibri" w:eastAsia="Calibri" w:hAnsi="Calibri"/>
                <w:sz w:val="16"/>
                <w:szCs w:val="16"/>
                <w:color w:val="auto"/>
              </w:rPr>
              <w:t>2021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Calibri" w:cs="Calibri" w:eastAsia="Calibri" w:hAnsi="Calibri"/>
                <w:sz w:val="16"/>
                <w:szCs w:val="16"/>
                <w:color w:val="auto"/>
              </w:rPr>
              <w:t>Net loss from contnuing operatons - as reported</w:t>
            </w:r>
          </w:p>
        </w:tc>
        <w:tc>
          <w:tcPr>
            <w:tcW w:w="280" w:type="dxa"/>
            <w:vAlign w:val="bottom"/>
          </w:tcPr>
          <w:p>
            <w:pPr>
              <w:jc w:val="right"/>
              <w:ind w:right="164"/>
              <w:spacing w:after="0"/>
              <w:rPr>
                <w:sz w:val="20"/>
                <w:szCs w:val="20"/>
                <w:color w:val="auto"/>
              </w:rPr>
            </w:pPr>
            <w:r>
              <w:rPr>
                <w:rFonts w:ascii="Calibri" w:cs="Calibri" w:eastAsia="Calibri" w:hAnsi="Calibri"/>
                <w:sz w:val="11"/>
                <w:szCs w:val="11"/>
                <w:b w:val="1"/>
                <w:bCs w:val="1"/>
                <w:color w:val="auto"/>
                <w:w w:val="70"/>
              </w:rPr>
              <w:t>$</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(167,367)</w:t>
            </w:r>
          </w:p>
        </w:tc>
        <w:tc>
          <w:tcPr>
            <w:tcW w:w="480" w:type="dxa"/>
            <w:vAlign w:val="bottom"/>
            <w:gridSpan w:val="2"/>
          </w:tcPr>
          <w:p>
            <w:pPr>
              <w:jc w:val="right"/>
              <w:ind w:right="207"/>
              <w:spacing w:after="0"/>
              <w:rPr>
                <w:sz w:val="20"/>
                <w:szCs w:val="20"/>
                <w:color w:val="auto"/>
              </w:rPr>
            </w:pPr>
            <w:r>
              <w:rPr>
                <w:rFonts w:ascii="Calibri" w:cs="Calibri" w:eastAsia="Calibri" w:hAnsi="Calibri"/>
                <w:sz w:val="16"/>
                <w:szCs w:val="16"/>
                <w:color w:val="auto"/>
              </w:rPr>
              <w:t>$</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(149,945)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Calibri" w:cs="Calibri" w:eastAsia="Calibri" w:hAnsi="Calibri"/>
                <w:sz w:val="16"/>
                <w:szCs w:val="16"/>
                <w:color w:val="auto"/>
              </w:rPr>
              <w:t>Adjustments: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gridSpan w:val="2"/>
          </w:tcPr>
          <w:p>
            <w:pPr>
              <w:ind w:left="160"/>
              <w:spacing w:after="0"/>
              <w:rPr>
                <w:sz w:val="20"/>
                <w:szCs w:val="20"/>
                <w:color w:val="auto"/>
              </w:rPr>
            </w:pPr>
            <w:r>
              <w:rPr>
                <w:rFonts w:ascii="Calibri" w:cs="Calibri" w:eastAsia="Calibri" w:hAnsi="Calibri"/>
                <w:sz w:val="16"/>
                <w:szCs w:val="16"/>
                <w:color w:val="auto"/>
              </w:rPr>
              <w:t>Amortzaton of intangibles related to acquisitons (pretax)</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12,696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color w:val="auto"/>
              </w:rPr>
              <w:t>14,870</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780" w:type="dxa"/>
            <w:vAlign w:val="bottom"/>
            <w:gridSpan w:val="2"/>
          </w:tcPr>
          <w:p>
            <w:pPr>
              <w:ind w:left="160"/>
              <w:spacing w:after="0" w:line="243" w:lineRule="exact"/>
              <w:rPr>
                <w:sz w:val="20"/>
                <w:szCs w:val="20"/>
                <w:color w:val="auto"/>
              </w:rPr>
            </w:pPr>
            <w:r>
              <w:rPr>
                <w:rFonts w:ascii="Calibri" w:cs="Calibri" w:eastAsia="Calibri" w:hAnsi="Calibri"/>
                <w:sz w:val="16"/>
                <w:szCs w:val="16"/>
                <w:color w:val="auto"/>
              </w:rPr>
              <w:t xml:space="preserve">Tax efect of adjustments </w:t>
            </w:r>
            <w:r>
              <w:rPr>
                <w:rFonts w:ascii="Calibri" w:cs="Calibri" w:eastAsia="Calibri" w:hAnsi="Calibri"/>
                <w:sz w:val="21"/>
                <w:szCs w:val="21"/>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b w:val="1"/>
                <w:bCs w:val="1"/>
                <w:color w:val="auto"/>
              </w:rPr>
              <w:t>(3,221)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(3,635)</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780" w:type="dxa"/>
            <w:vAlign w:val="bottom"/>
            <w:gridSpan w:val="2"/>
          </w:tcPr>
          <w:p>
            <w:pPr>
              <w:spacing w:after="0" w:line="182" w:lineRule="exact"/>
              <w:rPr>
                <w:sz w:val="20"/>
                <w:szCs w:val="20"/>
                <w:color w:val="auto"/>
              </w:rPr>
            </w:pPr>
            <w:r>
              <w:rPr>
                <w:rFonts w:ascii="Calibri" w:cs="Calibri" w:eastAsia="Calibri" w:hAnsi="Calibri"/>
                <w:sz w:val="16"/>
                <w:szCs w:val="16"/>
                <w:color w:val="auto"/>
              </w:rPr>
              <w:t>Adjusted net loss from contnuing operatons</w:t>
            </w:r>
          </w:p>
        </w:tc>
        <w:tc>
          <w:tcPr>
            <w:tcW w:w="280" w:type="dxa"/>
            <w:vAlign w:val="bottom"/>
          </w:tcPr>
          <w:p>
            <w:pPr>
              <w:jc w:val="right"/>
              <w:ind w:right="164"/>
              <w:spacing w:after="0"/>
              <w:rPr>
                <w:sz w:val="20"/>
                <w:szCs w:val="20"/>
                <w:color w:val="auto"/>
              </w:rPr>
            </w:pPr>
            <w:r>
              <w:rPr>
                <w:rFonts w:ascii="Calibri" w:cs="Calibri" w:eastAsia="Calibri" w:hAnsi="Calibri"/>
                <w:sz w:val="11"/>
                <w:szCs w:val="11"/>
                <w:b w:val="1"/>
                <w:bCs w:val="1"/>
                <w:color w:val="auto"/>
                <w:w w:val="70"/>
              </w:rPr>
              <w:t>$</w:t>
            </w: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(157,892)</w:t>
            </w:r>
          </w:p>
        </w:tc>
        <w:tc>
          <w:tcPr>
            <w:tcW w:w="120" w:type="dxa"/>
            <w:vAlign w:val="bottom"/>
          </w:tcPr>
          <w:p>
            <w:pPr>
              <w:spacing w:after="0"/>
              <w:rPr>
                <w:sz w:val="16"/>
                <w:szCs w:val="16"/>
                <w:color w:val="auto"/>
              </w:rPr>
            </w:pPr>
          </w:p>
        </w:tc>
        <w:tc>
          <w:tcPr>
            <w:tcW w:w="360" w:type="dxa"/>
            <w:vAlign w:val="bottom"/>
          </w:tcPr>
          <w:p>
            <w:pPr>
              <w:jc w:val="right"/>
              <w:ind w:right="207"/>
              <w:spacing w:after="0" w:line="187" w:lineRule="exact"/>
              <w:rPr>
                <w:sz w:val="20"/>
                <w:szCs w:val="20"/>
                <w:color w:val="auto"/>
              </w:rPr>
            </w:pPr>
            <w:r>
              <w:rPr>
                <w:rFonts w:ascii="Calibri" w:cs="Calibri" w:eastAsia="Calibri" w:hAnsi="Calibri"/>
                <w:sz w:val="16"/>
                <w:szCs w:val="16"/>
                <w:color w:val="auto"/>
                <w:w w:val="73"/>
              </w:rPr>
              <w:t>$</w:t>
            </w:r>
          </w:p>
        </w:tc>
        <w:tc>
          <w:tcPr>
            <w:tcW w:w="1300" w:type="dxa"/>
            <w:vAlign w:val="bottom"/>
          </w:tcPr>
          <w:p>
            <w:pPr>
              <w:jc w:val="right"/>
              <w:spacing w:after="0" w:line="187" w:lineRule="exact"/>
              <w:rPr>
                <w:sz w:val="20"/>
                <w:szCs w:val="20"/>
                <w:color w:val="auto"/>
              </w:rPr>
            </w:pPr>
            <w:r>
              <w:rPr>
                <w:rFonts w:ascii="Calibri" w:cs="Calibri" w:eastAsia="Calibri" w:hAnsi="Calibri"/>
                <w:sz w:val="16"/>
                <w:szCs w:val="16"/>
                <w:color w:val="auto"/>
              </w:rPr>
              <w:t>(138,710)</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Calibri" w:cs="Calibri" w:eastAsia="Calibri" w:hAnsi="Calibri"/>
                <w:sz w:val="16"/>
                <w:szCs w:val="16"/>
                <w:color w:val="auto"/>
              </w:rPr>
              <w:t>Diluted loss per share from contnuing operatons - as reported</w:t>
            </w:r>
          </w:p>
        </w:tc>
        <w:tc>
          <w:tcPr>
            <w:tcW w:w="280" w:type="dxa"/>
            <w:vAlign w:val="bottom"/>
          </w:tcPr>
          <w:p>
            <w:pPr>
              <w:jc w:val="right"/>
              <w:ind w:right="164"/>
              <w:spacing w:after="0"/>
              <w:rPr>
                <w:sz w:val="20"/>
                <w:szCs w:val="20"/>
                <w:color w:val="auto"/>
              </w:rPr>
            </w:pPr>
            <w:r>
              <w:rPr>
                <w:rFonts w:ascii="Calibri" w:cs="Calibri" w:eastAsia="Calibri" w:hAnsi="Calibri"/>
                <w:sz w:val="11"/>
                <w:szCs w:val="11"/>
                <w:b w:val="1"/>
                <w:bCs w:val="1"/>
                <w:color w:val="auto"/>
                <w:w w:val="70"/>
              </w:rPr>
              <w:t>$</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(1.05)</w:t>
            </w:r>
          </w:p>
        </w:tc>
        <w:tc>
          <w:tcPr>
            <w:tcW w:w="480" w:type="dxa"/>
            <w:vAlign w:val="bottom"/>
            <w:gridSpan w:val="2"/>
          </w:tcPr>
          <w:p>
            <w:pPr>
              <w:jc w:val="right"/>
              <w:ind w:right="207"/>
              <w:spacing w:after="0"/>
              <w:rPr>
                <w:sz w:val="20"/>
                <w:szCs w:val="20"/>
                <w:color w:val="auto"/>
              </w:rPr>
            </w:pPr>
            <w:r>
              <w:rPr>
                <w:rFonts w:ascii="Calibri" w:cs="Calibri" w:eastAsia="Calibri" w:hAnsi="Calibri"/>
                <w:sz w:val="16"/>
                <w:szCs w:val="16"/>
                <w:color w:val="auto"/>
              </w:rPr>
              <w:t>$</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(0.84)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Calibri" w:cs="Calibri" w:eastAsia="Calibri" w:hAnsi="Calibri"/>
                <w:sz w:val="16"/>
                <w:szCs w:val="16"/>
                <w:color w:val="auto"/>
              </w:rPr>
              <w:t>Adjustments, net of tax</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0.06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color w:val="auto"/>
              </w:rPr>
              <w:t>0.06</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7780" w:type="dxa"/>
            <w:vAlign w:val="bottom"/>
            <w:gridSpan w:val="2"/>
            <w:vMerge w:val="restart"/>
          </w:tcPr>
          <w:p>
            <w:pPr>
              <w:spacing w:after="0"/>
              <w:rPr>
                <w:sz w:val="20"/>
                <w:szCs w:val="20"/>
                <w:color w:val="auto"/>
              </w:rPr>
            </w:pPr>
            <w:r>
              <w:rPr>
                <w:rFonts w:ascii="Calibri" w:cs="Calibri" w:eastAsia="Calibri" w:hAnsi="Calibri"/>
                <w:sz w:val="16"/>
                <w:szCs w:val="16"/>
                <w:color w:val="auto"/>
              </w:rPr>
              <w:t>Adjusted diluted loss per share from contnuing operatons</w:t>
            </w: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78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ind w:right="164"/>
              <w:spacing w:after="0"/>
              <w:rPr>
                <w:sz w:val="20"/>
                <w:szCs w:val="20"/>
                <w:color w:val="auto"/>
              </w:rPr>
            </w:pPr>
            <w:r>
              <w:rPr>
                <w:rFonts w:ascii="Calibri" w:cs="Calibri" w:eastAsia="Calibri" w:hAnsi="Calibri"/>
                <w:sz w:val="11"/>
                <w:szCs w:val="11"/>
                <w:b w:val="1"/>
                <w:bCs w:val="1"/>
                <w:color w:val="auto"/>
                <w:w w:val="70"/>
              </w:rPr>
              <w:t>$</w:t>
            </w: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(0.99)</w:t>
            </w:r>
          </w:p>
        </w:tc>
        <w:tc>
          <w:tcPr>
            <w:tcW w:w="120" w:type="dxa"/>
            <w:vAlign w:val="bottom"/>
          </w:tcPr>
          <w:p>
            <w:pPr>
              <w:spacing w:after="0"/>
              <w:rPr>
                <w:sz w:val="16"/>
                <w:szCs w:val="16"/>
                <w:color w:val="auto"/>
              </w:rPr>
            </w:pPr>
          </w:p>
        </w:tc>
        <w:tc>
          <w:tcPr>
            <w:tcW w:w="360" w:type="dxa"/>
            <w:vAlign w:val="bottom"/>
            <w:tcBorders>
              <w:top w:val="single" w:sz="8" w:color="auto"/>
            </w:tcBorders>
          </w:tcPr>
          <w:p>
            <w:pPr>
              <w:jc w:val="right"/>
              <w:ind w:right="207"/>
              <w:spacing w:after="0" w:line="187" w:lineRule="exact"/>
              <w:rPr>
                <w:sz w:val="20"/>
                <w:szCs w:val="20"/>
                <w:color w:val="auto"/>
              </w:rPr>
            </w:pPr>
            <w:r>
              <w:rPr>
                <w:rFonts w:ascii="Calibri" w:cs="Calibri" w:eastAsia="Calibri" w:hAnsi="Calibri"/>
                <w:sz w:val="16"/>
                <w:szCs w:val="16"/>
                <w:color w:val="auto"/>
                <w:w w:val="73"/>
              </w:rPr>
              <w:t>$</w:t>
            </w:r>
          </w:p>
        </w:tc>
        <w:tc>
          <w:tcPr>
            <w:tcW w:w="13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(0.78)</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Calibri" w:cs="Calibri" w:eastAsia="Calibri" w:hAnsi="Calibri"/>
          <w:sz w:val="16"/>
          <w:szCs w:val="16"/>
          <w:color w:val="auto"/>
          <w:vertAlign w:val="superscript"/>
        </w:rPr>
        <w:t>(1)</w:t>
      </w:r>
      <w:r>
        <w:rPr>
          <w:rFonts w:ascii="Calibri" w:cs="Calibri" w:eastAsia="Calibri" w:hAnsi="Calibri"/>
          <w:sz w:val="13"/>
          <w:szCs w:val="13"/>
          <w:color w:val="auto"/>
        </w:rPr>
        <w:t>Tax efect of adjustments is the diference between the tax provision calculated on a GAAP basis and on an adjusted non-GAAP basis.</w:t>
      </w:r>
    </w:p>
    <w:p>
      <w:pPr>
        <w:spacing w:after="0"/>
        <w:rPr>
          <w:sz w:val="20"/>
          <w:szCs w:val="20"/>
          <w:color w:val="auto"/>
        </w:rPr>
      </w:pPr>
      <w:r>
        <w:rPr>
          <w:rFonts w:ascii="Times New Roman" w:cs="Times New Roman" w:eastAsia="Times New Roman" w:hAnsi="Times New Roman"/>
          <w:sz w:val="20"/>
          <w:szCs w:val="20"/>
          <w:b w:val="1"/>
          <w:bCs w:val="1"/>
          <w:color w:val="auto"/>
        </w:rPr>
        <w:t>Non-GAAP Financial Information</w:t>
      </w:r>
    </w:p>
    <w:p>
      <w:pPr>
        <w:spacing w:after="0" w:line="6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20"/>
          <w:szCs w:val="20"/>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spacing w:after="0" w:line="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We measure the performance of our business using a variety of metrics, including earnings before interest, taxes, depreciation and amortization (EBITDA) from continuing operations, adjusted EBITDA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2022-11-01T15:17:10Z</dcterms:created>
  <dcterms:modified xsi:type="dcterms:W3CDTF">2022-11-01T15:17:10Z</dcterms:modified>
</cp:coreProperties>
</file>