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sans-serif" w:hAnsi="sans-serif"/>
          <w:b/>
          <w:color w:val="000000"/>
          <w:sz w:val="20"/>
        </w:rPr>
      </w:pPr>
      <w:r>
        <w:rPr>
          <w:rFonts w:ascii="sans-serif" w:hAnsi="sans-serif"/>
          <w:b/>
          <w:color w:val="000000"/>
          <w:sz w:val="20"/>
        </w:rPr>
        <w:t>UNITED STATES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48"/>
        <w:gridCol w:w="130"/>
        <w:gridCol w:w="130"/>
        <w:gridCol w:w="130"/>
        <w:gridCol w:w="130"/>
        <w:gridCol w:w="130"/>
        <w:gridCol w:w="1573"/>
        <w:gridCol w:w="1525"/>
        <w:gridCol w:w="1553"/>
        <w:gridCol w:w="1463"/>
        <w:gridCol w:w="1350"/>
        <w:gridCol w:w="1943"/>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54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(Mark One)</w:t>
            </w:r>
          </w:p>
        </w:tc>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QUARTERLY REPORT PURSUANT TO SECTION 13 OR 15(d) OF THE SECURITIES EXCHANGE ACT OF 1934</w:t>
            </w:r>
          </w:p>
        </w:tc>
      </w:tr>
      <w:tr>
        <w:trPr/>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For the quarterly period ended</w:t>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December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OR</w:t>
            </w:r>
          </w:p>
        </w:tc>
      </w:tr>
      <w:tr>
        <w:trPr/>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TRANSITION REPORT PURSUANT TO SECTION 13 OR 15(d) OF THE SECURITIES EXCHANGE ACT OF 1934</w:t>
            </w:r>
          </w:p>
        </w:tc>
      </w:tr>
      <w:tr>
        <w:trPr/>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For the transition period from to </w:t>
            </w:r>
          </w:p>
        </w:tc>
      </w:tr>
    </w:tbl>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Commission file number 1-06089 </w:t>
      </w:r>
    </w:p>
    <w:p>
      <w:pPr>
        <w:pStyle w:val="TextBody"/>
        <w:bidi w:val="0"/>
        <w:spacing w:before="120" w:after="283"/>
        <w:jc w:val="center"/>
        <w:rPr/>
      </w:pPr>
      <w:r>
        <w:rPr/>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H&amp;R Block, Inc.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(Exact name of registrant as specified in its charter)</w:t>
      </w:r>
    </w:p>
    <w:tbl>
      <w:tblPr>
        <w:tblW w:w="4555"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470"/>
        <w:gridCol w:w="470"/>
        <w:gridCol w:w="66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Identification No.)</w:t>
            </w:r>
          </w:p>
        </w:tc>
      </w:tr>
    </w:tbl>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 xml:space="preserve">One H&amp;R Block Way, Kansas City, Missouri 64105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including zip code)</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 xml:space="preserve">(816) 854-3000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(Registrant's telephone number, including area code)</w:t>
      </w:r>
    </w:p>
    <w:p>
      <w:pPr>
        <w:pStyle w:val="TextBody"/>
        <w:bidi w:val="0"/>
        <w:spacing w:lineRule="auto" w:line="288" w:before="60" w:after="283"/>
        <w:jc w:val="center"/>
        <w:rPr>
          <w:rFonts w:ascii="sans-serif" w:hAnsi="sans-serif"/>
          <w:b/>
          <w:color w:val="000000"/>
          <w:sz w:val="18"/>
        </w:rPr>
      </w:pPr>
      <w:r>
        <w:rPr>
          <w:rFonts w:ascii="sans-serif" w:hAnsi="sans-serif"/>
          <w:b/>
          <w:color w:val="000000"/>
          <w:sz w:val="18"/>
        </w:rPr>
        <w:t>Securities registered pursuant to Section 12(b) of the Act:</w:t>
      </w:r>
    </w:p>
    <w:tbl>
      <w:tblPr>
        <w:tblW w:w="9314" w:type="dxa"/>
        <w:jc w:val="left"/>
        <w:tblInd w:w="0" w:type="dxa"/>
        <w:tblLayout w:type="fixed"/>
        <w:tblCellMar>
          <w:top w:w="28" w:type="dxa"/>
          <w:left w:w="28" w:type="dxa"/>
          <w:bottom w:w="28" w:type="dxa"/>
          <w:right w:w="28" w:type="dxa"/>
        </w:tblCellMar>
      </w:tblPr>
      <w:tblGrid>
        <w:gridCol w:w="1160"/>
        <w:gridCol w:w="1020"/>
        <w:gridCol w:w="1030"/>
        <w:gridCol w:w="609"/>
        <w:gridCol w:w="609"/>
        <w:gridCol w:w="611"/>
        <w:gridCol w:w="1252"/>
        <w:gridCol w:w="1252"/>
        <w:gridCol w:w="1771"/>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without par value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HRB</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bl>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 xml:space="preserve">No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 xml:space="preserve">No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120" w:after="283"/>
        <w:jc w:val="both"/>
        <w:rPr/>
      </w:pPr>
      <w:r>
        <w:rPr>
          <w:rFonts w:ascii="sans-serif" w:hAnsi="sans-serif"/>
          <w:b w:val="false"/>
          <w:color w:val="000000"/>
          <w:sz w:val="15"/>
        </w:rPr>
        <w:t xml:space="preserve">Large accelerated filer </w:t>
      </w:r>
      <w:r>
        <w:rPr>
          <w:color w:val="000000"/>
        </w:rPr>
        <w:t>☑           </w:t>
      </w:r>
      <w:r>
        <w:rPr>
          <w:rFonts w:ascii="sans-serif" w:hAnsi="sans-serif"/>
          <w:b w:val="false"/>
          <w:color w:val="000000"/>
          <w:sz w:val="15"/>
        </w:rPr>
        <w:t xml:space="preserve">Accelerated filer </w:t>
      </w:r>
      <w:r>
        <w:rPr>
          <w:color w:val="000000"/>
        </w:rPr>
        <w:t xml:space="preserve">☐         </w:t>
      </w:r>
      <w:r>
        <w:rPr>
          <w:rFonts w:ascii="sans-serif" w:hAnsi="sans-serif"/>
          <w:b w:val="false"/>
          <w:color w:val="000000"/>
          <w:sz w:val="15"/>
        </w:rPr>
        <w:t xml:space="preserve">Non-accelerated filer </w:t>
      </w:r>
      <w:r>
        <w:rPr>
          <w:color w:val="000000"/>
        </w:rPr>
        <w:t xml:space="preserve">☐          </w:t>
      </w:r>
      <w:r>
        <w:rPr>
          <w:rFonts w:ascii="sans-serif" w:hAnsi="sans-serif"/>
          <w:b w:val="false"/>
          <w:color w:val="000000"/>
          <w:sz w:val="15"/>
        </w:rPr>
        <w:t>Smaller reporting company </w:t>
      </w:r>
      <w:r>
        <w:rPr>
          <w:color w:val="000000"/>
        </w:rPr>
        <w:t xml:space="preserve">☐ </w:t>
      </w:r>
      <w:r>
        <w:rPr>
          <w:rFonts w:ascii="sans-serif" w:hAnsi="sans-serif"/>
          <w:b w:val="false"/>
          <w:color w:val="000000"/>
          <w:sz w:val="15"/>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60" w:after="283"/>
        <w:jc w:val="both"/>
        <w:rPr/>
      </w:pPr>
      <w:r>
        <w:rPr>
          <w:rFonts w:ascii="sans-serif" w:hAns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sans-serif" w:hAnsi="sans-serif"/>
          <w:b w:val="false"/>
          <w:color w:val="000000"/>
          <w:sz w:val="18"/>
        </w:rPr>
      </w:pPr>
      <w:r>
        <w:rPr>
          <w:rFonts w:ascii="sans-serif" w:hAnsi="sans-serif"/>
          <w:b w:val="false"/>
          <w:color w:val="000000"/>
          <w:sz w:val="18"/>
        </w:rPr>
        <w:t xml:space="preserve">Indicate by check mark whether the registrant is a shell company (as defined in Rule 12b-2 of the Exchange Act). </w:t>
      </w:r>
    </w:p>
    <w:p>
      <w:pPr>
        <w:pStyle w:val="TextBody"/>
        <w:bidi w:val="0"/>
        <w:spacing w:lineRule="auto" w:line="288" w:before="60" w:after="283"/>
        <w:jc w:val="both"/>
        <w:rPr/>
      </w:pPr>
      <w:r>
        <w:rPr>
          <w:rFonts w:ascii="sans-serif" w:hAnsi="sans-serif"/>
          <w:b w:val="false"/>
          <w:color w:val="000000"/>
          <w:sz w:val="18"/>
        </w:rPr>
        <w:t xml:space="preserve">Yes </w:t>
      </w:r>
      <w:r>
        <w:rPr>
          <w:color w:val="000000"/>
        </w:rPr>
        <w:t>☐    </w:t>
      </w:r>
      <w:r>
        <w:rPr>
          <w:rFonts w:ascii="sans-serif" w:hAnsi="sans-serif"/>
          <w:b w:val="false"/>
          <w:color w:val="000000"/>
          <w:sz w:val="18"/>
        </w:rPr>
        <w:t>No  </w:t>
      </w:r>
      <w:r>
        <w:rPr>
          <w:color w:val="000000"/>
        </w:rPr>
        <w:t>☑</w:t>
      </w:r>
    </w:p>
    <w:p>
      <w:pPr>
        <w:pStyle w:val="TextBody"/>
        <w:bidi w:val="0"/>
        <w:spacing w:lineRule="auto" w:line="288" w:before="120" w:after="120"/>
        <w:jc w:val="both"/>
        <w:rPr>
          <w:rFonts w:ascii="sans-serif" w:hAnsi="sans-serif"/>
          <w:b w:val="false"/>
          <w:color w:val="000000"/>
          <w:sz w:val="18"/>
        </w:rPr>
      </w:pPr>
      <w:r>
        <w:rPr>
          <w:rFonts w:ascii="sans-serif" w:hAnsi="sans-serif"/>
          <w:b w:val="false"/>
          <w:color w:val="000000"/>
          <w:sz w:val="18"/>
        </w:rPr>
        <w:t>The number of shares outstanding of the registrant's Common Stock, without par value, at the close of business on January 30, 2026: 126,759,738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before="100" w:after="283"/>
        <w:jc w:val="center"/>
        <w:rPr/>
      </w:pPr>
      <w:r>
        <w:rPr/>
      </w:r>
    </w:p>
    <w:p>
      <w:pPr>
        <w:pStyle w:val="TextBody"/>
        <w:bidi w:val="0"/>
        <w:spacing w:lineRule="auto" w:line="288" w:before="100" w:after="283"/>
        <w:jc w:val="center"/>
        <w:rPr>
          <w:rFonts w:ascii="sans-serif" w:hAnsi="sans-serif"/>
          <w:b/>
          <w:color w:val="000000"/>
          <w:sz w:val="24"/>
        </w:rPr>
      </w:pPr>
      <w:r>
        <w:rPr>
          <w:rFonts w:ascii="sans-serif" w:hAnsi="sans-serif"/>
          <w:b/>
          <w:color w:val="000000"/>
          <w:sz w:val="24"/>
        </w:rPr>
        <w:t xml:space="preserve">Form 10-Q for the Period ended December 31, 2025 </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12"/>
        <w:gridCol w:w="363"/>
        <w:gridCol w:w="366"/>
        <w:gridCol w:w="2864"/>
        <w:gridCol w:w="2864"/>
        <w:gridCol w:w="2884"/>
        <w:gridCol w:w="132"/>
        <w:gridCol w:w="132"/>
        <w:gridCol w:w="18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0">
              <w:r>
                <w:rPr>
                  <w:rStyle w:val="InternetLink"/>
                  <w:rFonts w:ascii="sans-serif" w:hAnsi="sans-serif"/>
                  <w:b/>
                  <w:strike w:val="false"/>
                  <w:dstrike w:val="false"/>
                  <w:color w:val="000000"/>
                  <w:sz w:val="24"/>
                  <w:u w:val="none"/>
                  <w:effect w:val="none"/>
                </w:rPr>
                <w:t>PART I</w:t>
              </w:r>
            </w:hyperlink>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3">
              <w:r>
                <w:rPr>
                  <w:rStyle w:val="InternetLink"/>
                  <w:rFonts w:ascii="sans-serif" w:hAnsi="sans-serif"/>
                  <w:b w:val="false"/>
                  <w:color w:val="0000FF"/>
                  <w:sz w:val="24"/>
                  <w:u w:val="single"/>
                </w:rPr>
                <w:t>Item 1.</w:t>
              </w:r>
            </w:hyperlink>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0478dfa7e7e49c39838dcbe20a54579_16">
              <w:r>
                <w:rPr>
                  <w:rStyle w:val="InternetLink"/>
                  <w:rFonts w:ascii="sans-serif" w:hAnsi="sans-serif"/>
                  <w:b w:val="false"/>
                  <w:color w:val="0000FF"/>
                  <w:sz w:val="24"/>
                  <w:u w:val="single"/>
                </w:rPr>
                <w:t>Consolidated Statements of Operations and Comprehensive Loss</w:t>
              </w:r>
            </w:hyperlink>
          </w:p>
          <w:p>
            <w:pPr>
              <w:pStyle w:val="TableContents"/>
              <w:bidi w:val="0"/>
              <w:spacing w:lineRule="auto" w:line="240" w:before="0" w:after="0"/>
              <w:ind w:left="0" w:right="0" w:hanging="270"/>
              <w:jc w:val="left"/>
              <w:rPr/>
            </w:pPr>
            <w:r>
              <w:rPr>
                <w:color w:val="000000"/>
              </w:rPr>
              <w:t>    </w:t>
            </w:r>
            <w:hyperlink w:anchor="i60478dfa7e7e49c39838dcbe20a54579_16">
              <w:r>
                <w:rPr>
                  <w:rStyle w:val="InternetLink"/>
                  <w:rFonts w:ascii="sans-serif" w:hAnsi="sans-serif"/>
                  <w:b w:val="false"/>
                  <w:color w:val="0000FF"/>
                  <w:sz w:val="24"/>
                  <w:u w:val="single"/>
                </w:rPr>
                <w:t>Three and six months ended December 31, 2025 and 2024</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3">
              <w:r>
                <w:rPr>
                  <w:rStyle w:val="InternetLink"/>
                  <w:rFonts w:ascii="sans-serif" w:hAnsi="sans-serif"/>
                  <w:b w:val="false"/>
                  <w:color w:val="0000FF"/>
                  <w:sz w:val="24"/>
                  <w:u w:val="single"/>
                </w:rPr>
                <w:t>1</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0478dfa7e7e49c39838dcbe20a54579_19">
              <w:r>
                <w:rPr>
                  <w:rStyle w:val="InternetLink"/>
                  <w:rFonts w:ascii="sans-serif" w:hAnsi="sans-serif"/>
                  <w:b w:val="false"/>
                  <w:color w:val="0000FF"/>
                  <w:sz w:val="24"/>
                  <w:u w:val="single"/>
                </w:rPr>
                <w:t xml:space="preserve">Consolidated Balance Sheets </w:t>
              </w:r>
            </w:hyperlink>
          </w:p>
          <w:p>
            <w:pPr>
              <w:pStyle w:val="TableContents"/>
              <w:bidi w:val="0"/>
              <w:spacing w:lineRule="auto" w:line="240" w:before="0" w:after="0"/>
              <w:ind w:left="0" w:right="0" w:hanging="270"/>
              <w:jc w:val="left"/>
              <w:rPr/>
            </w:pPr>
            <w:r>
              <w:rPr>
                <w:color w:val="000000"/>
              </w:rPr>
              <w:t>         </w:t>
            </w:r>
            <w:hyperlink w:anchor="i60478dfa7e7e49c39838dcbe20a54579_19">
              <w:r>
                <w:rPr>
                  <w:rStyle w:val="InternetLink"/>
                  <w:rFonts w:ascii="sans-serif" w:hAnsi="sans-serif"/>
                  <w:b w:val="false"/>
                  <w:color w:val="0000FF"/>
                  <w:sz w:val="24"/>
                  <w:u w:val="single"/>
                </w:rPr>
                <w:t>As of December 31, 2025 and June 30, 2025</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9">
              <w:r>
                <w:rPr>
                  <w:rStyle w:val="InternetLink"/>
                  <w:rFonts w:ascii="sans-serif" w:hAnsi="sans-serif"/>
                  <w:b w:val="false"/>
                  <w:color w:val="0000FF"/>
                  <w:sz w:val="24"/>
                  <w:u w:val="single"/>
                </w:rPr>
                <w:t>2</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0478dfa7e7e49c39838dcbe20a54579_25">
              <w:r>
                <w:rPr>
                  <w:rStyle w:val="InternetLink"/>
                  <w:rFonts w:ascii="sans-serif" w:hAnsi="sans-serif"/>
                  <w:b w:val="false"/>
                  <w:color w:val="0000FF"/>
                  <w:sz w:val="24"/>
                  <w:u w:val="single"/>
                </w:rPr>
                <w:t xml:space="preserve">Consolidated Statements of Cash Flows </w:t>
              </w:r>
            </w:hyperlink>
          </w:p>
          <w:p>
            <w:pPr>
              <w:pStyle w:val="TableContents"/>
              <w:bidi w:val="0"/>
              <w:spacing w:lineRule="auto" w:line="240" w:before="0" w:after="0"/>
              <w:ind w:left="0" w:right="0" w:hanging="270"/>
              <w:jc w:val="left"/>
              <w:rPr/>
            </w:pPr>
            <w:r>
              <w:rPr>
                <w:color w:val="000000"/>
              </w:rPr>
              <w:t>    </w:t>
            </w:r>
            <w:hyperlink w:anchor="i60478dfa7e7e49c39838dcbe20a54579_25">
              <w:r>
                <w:rPr>
                  <w:rStyle w:val="InternetLink"/>
                  <w:rFonts w:ascii="sans-serif" w:hAnsi="sans-serif"/>
                  <w:b w:val="false"/>
                  <w:color w:val="0000FF"/>
                  <w:sz w:val="24"/>
                  <w:u w:val="single"/>
                </w:rPr>
                <w:t>Six months ended December 31, 2025 and 2024</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25">
              <w:r>
                <w:rPr>
                  <w:rStyle w:val="InternetLink"/>
                  <w:rFonts w:ascii="sans-serif" w:hAnsi="sans-serif"/>
                  <w:b w:val="false"/>
                  <w:color w:val="0000FF"/>
                  <w:sz w:val="24"/>
                  <w:u w:val="single"/>
                </w:rPr>
                <w:t>3</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0478dfa7e7e49c39838dcbe20a54579_28">
              <w:r>
                <w:rPr>
                  <w:rStyle w:val="InternetLink"/>
                  <w:rFonts w:ascii="sans-serif" w:hAnsi="sans-serif"/>
                  <w:b w:val="false"/>
                  <w:color w:val="0000FF"/>
                  <w:sz w:val="24"/>
                  <w:u w:val="single"/>
                </w:rPr>
                <w:t xml:space="preserve">Consolidated Statements of Stockholders' Equity </w:t>
              </w:r>
            </w:hyperlink>
          </w:p>
          <w:p>
            <w:pPr>
              <w:pStyle w:val="TableContents"/>
              <w:bidi w:val="0"/>
              <w:spacing w:lineRule="auto" w:line="240" w:before="0" w:after="0"/>
              <w:ind w:left="0" w:right="0" w:hanging="180"/>
              <w:jc w:val="left"/>
              <w:rPr/>
            </w:pPr>
            <w:r>
              <w:rPr>
                <w:color w:val="000000"/>
              </w:rPr>
              <w:t>    </w:t>
            </w:r>
            <w:hyperlink w:anchor="i60478dfa7e7e49c39838dcbe20a54579_28">
              <w:r>
                <w:rPr>
                  <w:rStyle w:val="InternetLink"/>
                  <w:rFonts w:ascii="sans-serif" w:hAnsi="sans-serif"/>
                  <w:b w:val="false"/>
                  <w:color w:val="0000FF"/>
                  <w:sz w:val="24"/>
                  <w:u w:val="single"/>
                </w:rPr>
                <w:t>Three and six months ended December 31, 2025 and 2024</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28">
              <w:r>
                <w:rPr>
                  <w:rStyle w:val="InternetLink"/>
                  <w:rFonts w:ascii="sans-serif" w:hAnsi="sans-serif"/>
                  <w:b w:val="false"/>
                  <w:color w:val="0000FF"/>
                  <w:sz w:val="24"/>
                  <w:u w:val="single"/>
                </w:rPr>
                <w:t>4</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31">
              <w:r>
                <w:rPr>
                  <w:rStyle w:val="InternetLink"/>
                  <w:rFonts w:ascii="sans-serif" w:hAnsi="sans-serif"/>
                  <w:b w:val="false"/>
                  <w:color w:val="0000FF"/>
                  <w:sz w:val="24"/>
                  <w:u w:val="single"/>
                </w:rPr>
                <w:t>Notes to Consolidated Financial Statements</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31">
              <w:r>
                <w:rPr>
                  <w:rStyle w:val="InternetLink"/>
                  <w:rFonts w:ascii="sans-serif" w:hAnsi="sans-serif"/>
                  <w:b w:val="false"/>
                  <w:color w:val="0000FF"/>
                  <w:sz w:val="24"/>
                  <w:u w:val="single"/>
                </w:rPr>
                <w:t>6</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67">
              <w:r>
                <w:rPr>
                  <w:rStyle w:val="InternetLink"/>
                  <w:rFonts w:ascii="sans-serif" w:hAnsi="sans-serif"/>
                  <w:b w:val="false"/>
                  <w:color w:val="0000FF"/>
                  <w:sz w:val="24"/>
                  <w:u w:val="single"/>
                </w:rPr>
                <w:t>Item 2.</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0478dfa7e7e49c39838dcbe20a54579_67">
              <w:r>
                <w:rPr>
                  <w:rStyle w:val="InternetLink"/>
                  <w:rFonts w:ascii="sans-serif" w:hAnsi="sans-serif"/>
                  <w:b w:val="false"/>
                  <w:color w:val="0000FF"/>
                  <w:sz w:val="24"/>
                  <w:u w:val="single"/>
                </w:rPr>
                <w:t>Management's Discussion and Analysis of Financial Condition and Results of Operations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67">
              <w:r>
                <w:rPr>
                  <w:rStyle w:val="InternetLink"/>
                  <w:rFonts w:ascii="sans-serif" w:hAnsi="sans-serif"/>
                  <w:b w:val="false"/>
                  <w:color w:val="0000FF"/>
                  <w:sz w:val="24"/>
                  <w:u w:val="single"/>
                </w:rPr>
                <w:t>17</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91">
              <w:r>
                <w:rPr>
                  <w:rStyle w:val="InternetLink"/>
                  <w:rFonts w:ascii="sans-serif" w:hAnsi="sans-serif"/>
                  <w:b w:val="false"/>
                  <w:color w:val="0000FF"/>
                  <w:sz w:val="24"/>
                  <w:u w:val="single"/>
                </w:rPr>
                <w:t>Item 3.</w:t>
              </w:r>
            </w:hyperlink>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91">
              <w:r>
                <w:rPr>
                  <w:rStyle w:val="InternetLink"/>
                  <w:rFonts w:ascii="sans-serif" w:hAnsi="sans-serif"/>
                  <w:b w:val="false"/>
                  <w:color w:val="0000FF"/>
                  <w:sz w:val="24"/>
                  <w:u w:val="single"/>
                </w:rPr>
                <w:t>Quantitative and Qualitative Disclosures About Market Risk</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91">
              <w:r>
                <w:rPr>
                  <w:rStyle w:val="InternetLink"/>
                  <w:rFonts w:ascii="sans-serif" w:hAnsi="sans-serif"/>
                  <w:b w:val="false"/>
                  <w:color w:val="0000FF"/>
                  <w:sz w:val="24"/>
                  <w:u w:val="single"/>
                </w:rPr>
                <w:t>26</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94">
              <w:r>
                <w:rPr>
                  <w:rStyle w:val="InternetLink"/>
                  <w:rFonts w:ascii="sans-serif" w:hAnsi="sans-serif"/>
                  <w:b w:val="false"/>
                  <w:color w:val="0000FF"/>
                  <w:sz w:val="24"/>
                  <w:u w:val="single"/>
                </w:rPr>
                <w:t>Item 4.</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94">
              <w:r>
                <w:rPr>
                  <w:rStyle w:val="InternetLink"/>
                  <w:rFonts w:ascii="sans-serif" w:hAnsi="sans-serif"/>
                  <w:b w:val="false"/>
                  <w:color w:val="0000FF"/>
                  <w:sz w:val="24"/>
                  <w:u w:val="single"/>
                </w:rPr>
                <w:t>Controls and Procedures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94">
              <w:r>
                <w:rPr>
                  <w:rStyle w:val="InternetLink"/>
                  <w:rFonts w:ascii="sans-serif" w:hAnsi="sans-serif"/>
                  <w:b w:val="false"/>
                  <w:color w:val="0000FF"/>
                  <w:sz w:val="24"/>
                  <w:u w:val="single"/>
                </w:rPr>
                <w:t>26</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97">
              <w:r>
                <w:rPr>
                  <w:rStyle w:val="InternetLink"/>
                  <w:rFonts w:ascii="sans-serif" w:hAnsi="sans-serif"/>
                  <w:b/>
                  <w:strike w:val="false"/>
                  <w:dstrike w:val="false"/>
                  <w:color w:val="000000"/>
                  <w:sz w:val="24"/>
                  <w:u w:val="none"/>
                  <w:effect w:val="none"/>
                </w:rPr>
                <w:t>PART II</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0">
              <w:r>
                <w:rPr>
                  <w:rStyle w:val="InternetLink"/>
                  <w:rFonts w:ascii="sans-serif" w:hAnsi="sans-serif"/>
                  <w:b w:val="false"/>
                  <w:color w:val="0000FF"/>
                  <w:sz w:val="24"/>
                  <w:u w:val="single"/>
                </w:rPr>
                <w:t>Item 1.</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0">
              <w:r>
                <w:rPr>
                  <w:rStyle w:val="InternetLink"/>
                  <w:rFonts w:ascii="sans-serif" w:hAnsi="sans-serif"/>
                  <w:b w:val="false"/>
                  <w:color w:val="0000FF"/>
                  <w:sz w:val="24"/>
                  <w:u w:val="single"/>
                </w:rPr>
                <w:t>Legal Proceedings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00">
              <w:r>
                <w:rPr>
                  <w:rStyle w:val="InternetLink"/>
                  <w:rFonts w:ascii="sans-serif" w:hAnsi="sans-serif"/>
                  <w:b w:val="false"/>
                  <w:color w:val="0000FF"/>
                  <w:sz w:val="24"/>
                  <w:u w:val="single"/>
                </w:rPr>
                <w:t>26</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3">
              <w:r>
                <w:rPr>
                  <w:rStyle w:val="InternetLink"/>
                  <w:rFonts w:ascii="sans-serif" w:hAnsi="sans-serif"/>
                  <w:b w:val="false"/>
                  <w:color w:val="0000FF"/>
                  <w:sz w:val="24"/>
                  <w:u w:val="single"/>
                </w:rPr>
                <w:t>Item 1A.</w:t>
              </w:r>
            </w:hyperlink>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3">
              <w:r>
                <w:rPr>
                  <w:rStyle w:val="InternetLink"/>
                  <w:rFonts w:ascii="sans-serif" w:hAnsi="sans-serif"/>
                  <w:b w:val="false"/>
                  <w:color w:val="0000FF"/>
                  <w:sz w:val="24"/>
                  <w:u w:val="single"/>
                </w:rPr>
                <w:t>Risk Factors</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03">
              <w:r>
                <w:rPr>
                  <w:rStyle w:val="InternetLink"/>
                  <w:rFonts w:ascii="sans-serif" w:hAnsi="sans-serif"/>
                  <w:b w:val="false"/>
                  <w:color w:val="0000FF"/>
                  <w:sz w:val="24"/>
                  <w:u w:val="single"/>
                </w:rPr>
                <w:t>26</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6">
              <w:r>
                <w:rPr>
                  <w:rStyle w:val="InternetLink"/>
                  <w:rFonts w:ascii="sans-serif" w:hAnsi="sans-serif"/>
                  <w:b w:val="false"/>
                  <w:color w:val="0000FF"/>
                  <w:sz w:val="24"/>
                  <w:u w:val="single"/>
                </w:rPr>
                <w:t>Item 2.</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6">
              <w:r>
                <w:rPr>
                  <w:rStyle w:val="InternetLink"/>
                  <w:rFonts w:ascii="sans-serif" w:hAnsi="sans-serif"/>
                  <w:b w:val="false"/>
                  <w:color w:val="0000FF"/>
                  <w:sz w:val="24"/>
                  <w:u w:val="single"/>
                </w:rPr>
                <w:t>Unregistered Sales of Equity Securities and Use of Proceeds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06">
              <w:r>
                <w:rPr>
                  <w:rStyle w:val="InternetLink"/>
                  <w:rFonts w:ascii="sans-serif" w:hAnsi="sans-serif"/>
                  <w:b w:val="false"/>
                  <w:color w:val="0000FF"/>
                  <w:sz w:val="24"/>
                  <w:u w:val="single"/>
                </w:rPr>
                <w:t>27</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9">
              <w:r>
                <w:rPr>
                  <w:rStyle w:val="InternetLink"/>
                  <w:rFonts w:ascii="sans-serif" w:hAnsi="sans-serif"/>
                  <w:b w:val="false"/>
                  <w:color w:val="0000FF"/>
                  <w:sz w:val="24"/>
                  <w:u w:val="single"/>
                </w:rPr>
                <w:t>Item 3.</w:t>
              </w:r>
            </w:hyperlink>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09">
              <w:r>
                <w:rPr>
                  <w:rStyle w:val="InternetLink"/>
                  <w:rFonts w:ascii="sans-serif" w:hAnsi="sans-serif"/>
                  <w:b w:val="false"/>
                  <w:color w:val="0000FF"/>
                  <w:sz w:val="24"/>
                  <w:u w:val="single"/>
                </w:rPr>
                <w:t>Defaults Upon Senior Securities</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09">
              <w:r>
                <w:rPr>
                  <w:rStyle w:val="InternetLink"/>
                  <w:rFonts w:ascii="sans-serif" w:hAnsi="sans-serif"/>
                  <w:b w:val="false"/>
                  <w:color w:val="0000FF"/>
                  <w:sz w:val="24"/>
                  <w:u w:val="single"/>
                </w:rPr>
                <w:t>27</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2">
              <w:r>
                <w:rPr>
                  <w:rStyle w:val="InternetLink"/>
                  <w:rFonts w:ascii="sans-serif" w:hAnsi="sans-serif"/>
                  <w:b w:val="false"/>
                  <w:color w:val="0000FF"/>
                  <w:sz w:val="24"/>
                  <w:u w:val="single"/>
                </w:rPr>
                <w:t>Item 4.</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2">
              <w:r>
                <w:rPr>
                  <w:rStyle w:val="InternetLink"/>
                  <w:rFonts w:ascii="sans-serif" w:hAnsi="sans-serif"/>
                  <w:b w:val="false"/>
                  <w:color w:val="0000FF"/>
                  <w:sz w:val="24"/>
                  <w:u w:val="single"/>
                </w:rPr>
                <w:t>Mine Safety Disclosures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12">
              <w:r>
                <w:rPr>
                  <w:rStyle w:val="InternetLink"/>
                  <w:rFonts w:ascii="sans-serif" w:hAnsi="sans-serif"/>
                  <w:b w:val="false"/>
                  <w:color w:val="0000FF"/>
                  <w:sz w:val="24"/>
                  <w:u w:val="single"/>
                </w:rPr>
                <w:t>27</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5">
              <w:r>
                <w:rPr>
                  <w:rStyle w:val="InternetLink"/>
                  <w:rFonts w:ascii="sans-serif" w:hAnsi="sans-serif"/>
                  <w:b w:val="false"/>
                  <w:color w:val="0000FF"/>
                  <w:sz w:val="24"/>
                  <w:u w:val="single"/>
                </w:rPr>
                <w:t>Item 5.</w:t>
              </w:r>
            </w:hyperlink>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5">
              <w:r>
                <w:rPr>
                  <w:rStyle w:val="InternetLink"/>
                  <w:rFonts w:ascii="sans-serif" w:hAnsi="sans-serif"/>
                  <w:b w:val="false"/>
                  <w:color w:val="0000FF"/>
                  <w:sz w:val="24"/>
                  <w:u w:val="single"/>
                </w:rPr>
                <w:t>Other Information</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15">
              <w:r>
                <w:rPr>
                  <w:rStyle w:val="InternetLink"/>
                  <w:rFonts w:ascii="sans-serif" w:hAnsi="sans-serif"/>
                  <w:b w:val="false"/>
                  <w:color w:val="0000FF"/>
                  <w:sz w:val="24"/>
                  <w:u w:val="single"/>
                </w:rPr>
                <w:t>27</w:t>
              </w:r>
            </w:hyperlink>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8">
              <w:r>
                <w:rPr>
                  <w:rStyle w:val="InternetLink"/>
                  <w:rFonts w:ascii="sans-serif" w:hAnsi="sans-serif"/>
                  <w:b w:val="false"/>
                  <w:color w:val="0000FF"/>
                  <w:sz w:val="24"/>
                  <w:u w:val="single"/>
                </w:rPr>
                <w:t>Item 6.</w:t>
              </w:r>
            </w:hyperlink>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18">
              <w:r>
                <w:rPr>
                  <w:rStyle w:val="InternetLink"/>
                  <w:rFonts w:ascii="sans-serif" w:hAnsi="sans-serif"/>
                  <w:b w:val="false"/>
                  <w:color w:val="0000FF"/>
                  <w:sz w:val="24"/>
                  <w:u w:val="single"/>
                </w:rPr>
                <w:t>Exhibits</w:t>
              </w:r>
            </w:hyperlink>
          </w:p>
        </w:tc>
        <w:tc>
          <w:tcPr>
            <w:tcW w:w="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18">
              <w:r>
                <w:rPr>
                  <w:rStyle w:val="InternetLink"/>
                  <w:rFonts w:ascii="sans-serif" w:hAnsi="sans-serif"/>
                  <w:b w:val="false"/>
                  <w:color w:val="0000FF"/>
                  <w:sz w:val="24"/>
                  <w:u w:val="single"/>
                </w:rPr>
                <w:t>27</w:t>
              </w:r>
            </w:hyperlink>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0478dfa7e7e49c39838dcbe20a54579_121">
              <w:r>
                <w:rPr>
                  <w:rStyle w:val="InternetLink"/>
                  <w:rFonts w:ascii="sans-serif" w:hAnsi="sans-serif"/>
                  <w:b w:val="false"/>
                  <w:color w:val="0000FF"/>
                  <w:sz w:val="24"/>
                  <w:u w:val="single"/>
                </w:rPr>
                <w:t>Signatures</w:t>
              </w:r>
            </w:hyperlink>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0478dfa7e7e49c39838dcbe20a54579_121">
              <w:r>
                <w:rPr>
                  <w:rStyle w:val="InternetLink"/>
                  <w:rFonts w:ascii="sans-serif" w:hAnsi="sans-serif"/>
                  <w:b w:val="false"/>
                  <w:color w:val="0000FF"/>
                  <w:sz w:val="24"/>
                  <w:u w:val="single"/>
                </w:rPr>
                <w:t>28</w:t>
              </w:r>
            </w:hyperlink>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60" w:after="283"/>
        <w:jc w:val="left"/>
        <w:rPr>
          <w:rFonts w:ascii="sans-serif" w:hAnsi="sans-serif"/>
          <w:b/>
          <w:color w:val="14AA40"/>
          <w:sz w:val="28"/>
        </w:rPr>
      </w:pPr>
      <w:r>
        <w:rPr>
          <w:rFonts w:ascii="sans-serif" w:hAnsi="sans-serif"/>
          <w:b/>
          <w:color w:val="14AA40"/>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sans-serif" w:hAnsi="sans-serif"/>
          <w:b/>
          <w:color w:val="14AA40"/>
          <w:sz w:val="28"/>
        </w:rPr>
      </w:pPr>
      <w:r>
        <w:rPr>
          <w:rFonts w:ascii="sans-serif" w:hAnsi="sans-serif"/>
          <w:b/>
          <w:color w:val="14AA40"/>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13"/>
        <w:gridCol w:w="638"/>
        <w:gridCol w:w="641"/>
        <w:gridCol w:w="137"/>
        <w:gridCol w:w="137"/>
        <w:gridCol w:w="137"/>
        <w:gridCol w:w="285"/>
        <w:gridCol w:w="1261"/>
        <w:gridCol w:w="137"/>
        <w:gridCol w:w="137"/>
        <w:gridCol w:w="137"/>
        <w:gridCol w:w="137"/>
        <w:gridCol w:w="285"/>
        <w:gridCol w:w="1242"/>
        <w:gridCol w:w="137"/>
        <w:gridCol w:w="109"/>
        <w:gridCol w:w="109"/>
        <w:gridCol w:w="109"/>
        <w:gridCol w:w="233"/>
        <w:gridCol w:w="1021"/>
        <w:gridCol w:w="112"/>
        <w:gridCol w:w="112"/>
        <w:gridCol w:w="112"/>
        <w:gridCol w:w="112"/>
        <w:gridCol w:w="233"/>
        <w:gridCol w:w="1006"/>
        <w:gridCol w:w="176"/>
      </w:tblGrid>
      <w:tr>
        <w:trPr/>
        <w:tc>
          <w:tcPr>
            <w:tcW w:w="13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76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OPERATIONS AND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except per share amounts)</w:t>
            </w:r>
          </w:p>
        </w:tc>
      </w:tr>
      <w:tr>
        <w:trPr/>
        <w:tc>
          <w:tcPr>
            <w:tcW w:w="2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167,779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152,968 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359,890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334,739 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Royalty, product and other revenues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31,086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42,526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198,865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179,070 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402,416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372,880 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OPERATING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Costs of revenues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339,919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314,209 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613,936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583,790 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157,825</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158,152 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294,390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310,712 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497,744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472,361 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908,326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894,502 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11,136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(23,378)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from continuing operations before income tax benefit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(319,223)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(312,299)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(535,554)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(544,560)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 xml:space="preserve">Net loss from discontinued operations, net of tax benefits of $178, $286, $313, and $631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LOSS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AND DILUTED LOSS PER SHARE: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DIVIDENDS DECLARED PER SHARE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0.42</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0.375 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0.84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COMPREHENSIVE LOSS: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foreign currency translation adjustments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5,725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(22,917)</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(loss)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5,725</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(29,034)</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(3,583)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(22,917)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Comprehensive loss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(236,441)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(272,454)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(411,568)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(438,913)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79645"/>
                <wp:effectExtent l="0" t="0" r="0" b="0"/>
                <wp:wrapNone/>
                <wp:docPr id="3" name="Frame3"/>
                <a:graphic xmlns:a="http://schemas.openxmlformats.org/drawingml/2006/main">
                  <a:graphicData uri="http://schemas.microsoft.com/office/word/2010/wordprocessingShape">
                    <wps:wsp>
                      <wps:cNvSpPr txBox="1"/>
                      <wps:spPr>
                        <a:xfrm>
                          <a:off x="0" y="0"/>
                          <a:ext cx="6480175" cy="477964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297"/>
        <w:gridCol w:w="2018"/>
        <w:gridCol w:w="2023"/>
        <w:gridCol w:w="109"/>
        <w:gridCol w:w="109"/>
        <w:gridCol w:w="109"/>
        <w:gridCol w:w="258"/>
        <w:gridCol w:w="1322"/>
        <w:gridCol w:w="124"/>
        <w:gridCol w:w="109"/>
        <w:gridCol w:w="109"/>
        <w:gridCol w:w="109"/>
        <w:gridCol w:w="226"/>
        <w:gridCol w:w="1126"/>
        <w:gridCol w:w="157"/>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except </w:t>
              <w:br/>
              <w:t>share and per share amounts)</w:t>
            </w:r>
          </w:p>
        </w:tc>
      </w:tr>
      <w:tr>
        <w:trPr/>
        <w:tc>
          <w:tcPr>
            <w:tcW w:w="6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2025</w:t>
            </w:r>
          </w:p>
        </w:tc>
      </w:tr>
      <w:tr>
        <w:trPr/>
        <w:tc>
          <w:tcPr>
            <w:tcW w:w="6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349,194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983,277 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19,662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Receivables, less allowance for credit losses of $21,173 and $55,775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352,480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120,442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95,788 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841,778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Property and equipment, at cost, less accumulated depreciation and amortization of $864,506 and $828,744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149,554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488,082</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521,215 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271,054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815,618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802,053 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 and 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300,074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63,850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2,930,010</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145,801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74,262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income taxes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44,897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296,244 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200,653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209,203 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189,216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654,829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1,298,610 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and line of credit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2,435,379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1,143,305 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298,986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299,003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64,891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3,753,088</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3,175,002 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Common stock, no par, stated value $0.01 per share, 800,000,000 shares authorized, shares issued of 156,506,438 and 164,367,434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768,531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766,998 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(51,338)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(47,755)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(904,840)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Less treasury shares, at cost, of 29,747,783 and 30,420,033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(636,996)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(644,052)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 (deficiency)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(823,078)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2,930,010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37845"/>
                <wp:effectExtent l="0" t="0" r="0" b="0"/>
                <wp:wrapNone/>
                <wp:docPr id="4" name="Frame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11"/>
        <w:gridCol w:w="1416"/>
        <w:gridCol w:w="1419"/>
        <w:gridCol w:w="109"/>
        <w:gridCol w:w="109"/>
        <w:gridCol w:w="109"/>
        <w:gridCol w:w="226"/>
        <w:gridCol w:w="1002"/>
        <w:gridCol w:w="109"/>
        <w:gridCol w:w="109"/>
        <w:gridCol w:w="109"/>
        <w:gridCol w:w="109"/>
        <w:gridCol w:w="226"/>
        <w:gridCol w:w="98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161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18,723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assets and liabilities, net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accrued expenses,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(44,968)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(49,863)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receivables, accrued income taxes and income tax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(276,943)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(970,788)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(895,638)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(48,735)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made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Franchise loans 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(91,925)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line of credit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line of credit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975,000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346,980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of common stock, including shares surrendered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(412,645)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(436,233)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(634,283)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368,856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SUPPLEMENTARY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paid, net (includes payments for purchased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operating right of use assets and related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dividends payable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927" w:type="dxa"/>
                              <w:jc w:val="right"/>
                              <w:tblInd w:w="0" w:type="dxa"/>
                              <w:tblLayout w:type="fixed"/>
                              <w:tblCellMar>
                                <w:top w:w="28" w:type="dxa"/>
                                <w:left w:w="28" w:type="dxa"/>
                                <w:bottom w:w="28" w:type="dxa"/>
                                <w:right w:w="28" w:type="dxa"/>
                              </w:tblCellMar>
                            </w:tblPr>
                            <w:tblGrid>
                              <w:gridCol w:w="1285"/>
                              <w:gridCol w:w="1130"/>
                              <w:gridCol w:w="1140"/>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927" w:type="dxa"/>
                        <w:jc w:val="right"/>
                        <w:tblInd w:w="0" w:type="dxa"/>
                        <w:tblLayout w:type="fixed"/>
                        <w:tblCellMar>
                          <w:top w:w="28" w:type="dxa"/>
                          <w:left w:w="28" w:type="dxa"/>
                          <w:bottom w:w="28" w:type="dxa"/>
                          <w:right w:w="28" w:type="dxa"/>
                        </w:tblCellMar>
                      </w:tblPr>
                      <w:tblGrid>
                        <w:gridCol w:w="1285"/>
                        <w:gridCol w:w="1130"/>
                        <w:gridCol w:w="1140"/>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 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5652" w:type="dxa"/>
        <w:jc w:val="center"/>
        <w:tblInd w:w="0" w:type="dxa"/>
        <w:tblLayout w:type="fixed"/>
        <w:tblCellMar>
          <w:top w:w="28" w:type="dxa"/>
          <w:left w:w="28" w:type="dxa"/>
          <w:bottom w:w="28" w:type="dxa"/>
          <w:right w:w="28" w:type="dxa"/>
        </w:tblCellMar>
      </w:tblPr>
      <w:tblGrid>
        <w:gridCol w:w="930"/>
        <w:gridCol w:w="384"/>
        <w:gridCol w:w="187"/>
        <w:gridCol w:w="109"/>
        <w:gridCol w:w="109"/>
        <w:gridCol w:w="109"/>
        <w:gridCol w:w="563"/>
        <w:gridCol w:w="398"/>
        <w:gridCol w:w="109"/>
        <w:gridCol w:w="109"/>
        <w:gridCol w:w="109"/>
        <w:gridCol w:w="109"/>
        <w:gridCol w:w="226"/>
        <w:gridCol w:w="721"/>
        <w:gridCol w:w="109"/>
        <w:gridCol w:w="109"/>
        <w:gridCol w:w="109"/>
        <w:gridCol w:w="109"/>
        <w:gridCol w:w="109"/>
        <w:gridCol w:w="109"/>
        <w:gridCol w:w="946"/>
        <w:gridCol w:w="109"/>
        <w:gridCol w:w="251"/>
        <w:gridCol w:w="1068"/>
        <w:gridCol w:w="122"/>
        <w:gridCol w:w="109"/>
        <w:gridCol w:w="109"/>
        <w:gridCol w:w="109"/>
        <w:gridCol w:w="226"/>
        <w:gridCol w:w="856"/>
        <w:gridCol w:w="109"/>
        <w:gridCol w:w="109"/>
        <w:gridCol w:w="109"/>
        <w:gridCol w:w="109"/>
        <w:gridCol w:w="226"/>
        <w:gridCol w:w="976"/>
        <w:gridCol w:w="109"/>
        <w:gridCol w:w="109"/>
        <w:gridCol w:w="109"/>
        <w:gridCol w:w="109"/>
        <w:gridCol w:w="428"/>
        <w:gridCol w:w="428"/>
        <w:gridCol w:w="231"/>
        <w:gridCol w:w="109"/>
        <w:gridCol w:w="109"/>
        <w:gridCol w:w="109"/>
        <w:gridCol w:w="226"/>
        <w:gridCol w:w="976"/>
        <w:gridCol w:w="109"/>
        <w:gridCol w:w="255"/>
        <w:gridCol w:w="255"/>
        <w:gridCol w:w="256"/>
        <w:gridCol w:w="226"/>
        <w:gridCol w:w="97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8"/>
              </w:rPr>
            </w:pPr>
            <w:r>
              <w:rPr>
                <w:rFonts w:ascii="sans-serif" w:hAnsi="sans-serif"/>
                <w:b/>
                <w:color w:val="000000"/>
                <w:sz w:val="28"/>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(amounts in 000s, except per share amounts)</w:t>
            </w:r>
          </w:p>
        </w:tc>
        <w:tc>
          <w:tcPr>
            <w:tcW w:w="3760" w:type="dxa"/>
            <w:gridSpan w:val="12"/>
            <w:tcBorders/>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Accumulated Other </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Loss</w:t>
            </w:r>
            <w:r>
              <w:rPr>
                <w:rFonts w:ascii="sans-serif" w:hAns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 xml:space="preserve">Earnings </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2122"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164,367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766,998</w:t>
            </w: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(47,755)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12,061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(30,420)</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(644,052)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88,896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(165,819)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6,172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6,172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(10,551)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579</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(4,638)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(399,401)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(404,118)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$0.42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(54,343)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757,981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(57,063)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(609,299)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(30,085)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(644,094)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(550,910)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7,625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2,925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342</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10,093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$0.42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768,531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(51,338)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(904,840)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(29,748)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(636,996)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(823,078)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37845"/>
                <wp:effectExtent l="0" t="0" r="0" b="0"/>
                <wp:wrapNone/>
                <wp:docPr id="6" name="Frame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5669" w:type="dxa"/>
        <w:jc w:val="center"/>
        <w:tblInd w:w="0" w:type="dxa"/>
        <w:tblLayout w:type="fixed"/>
        <w:tblCellMar>
          <w:top w:w="28" w:type="dxa"/>
          <w:left w:w="28" w:type="dxa"/>
          <w:bottom w:w="28" w:type="dxa"/>
          <w:right w:w="28" w:type="dxa"/>
        </w:tblCellMar>
      </w:tblPr>
      <w:tblGrid>
        <w:gridCol w:w="917"/>
        <w:gridCol w:w="291"/>
        <w:gridCol w:w="293"/>
        <w:gridCol w:w="109"/>
        <w:gridCol w:w="109"/>
        <w:gridCol w:w="109"/>
        <w:gridCol w:w="473"/>
        <w:gridCol w:w="473"/>
        <w:gridCol w:w="231"/>
        <w:gridCol w:w="109"/>
        <w:gridCol w:w="109"/>
        <w:gridCol w:w="109"/>
        <w:gridCol w:w="226"/>
        <w:gridCol w:w="706"/>
        <w:gridCol w:w="109"/>
        <w:gridCol w:w="109"/>
        <w:gridCol w:w="109"/>
        <w:gridCol w:w="109"/>
        <w:gridCol w:w="109"/>
        <w:gridCol w:w="109"/>
        <w:gridCol w:w="946"/>
        <w:gridCol w:w="109"/>
        <w:gridCol w:w="254"/>
        <w:gridCol w:w="1064"/>
        <w:gridCol w:w="123"/>
        <w:gridCol w:w="109"/>
        <w:gridCol w:w="109"/>
        <w:gridCol w:w="109"/>
        <w:gridCol w:w="226"/>
        <w:gridCol w:w="841"/>
        <w:gridCol w:w="109"/>
        <w:gridCol w:w="109"/>
        <w:gridCol w:w="109"/>
        <w:gridCol w:w="109"/>
        <w:gridCol w:w="226"/>
        <w:gridCol w:w="961"/>
        <w:gridCol w:w="109"/>
        <w:gridCol w:w="109"/>
        <w:gridCol w:w="109"/>
        <w:gridCol w:w="109"/>
        <w:gridCol w:w="420"/>
        <w:gridCol w:w="421"/>
        <w:gridCol w:w="231"/>
        <w:gridCol w:w="109"/>
        <w:gridCol w:w="109"/>
        <w:gridCol w:w="109"/>
        <w:gridCol w:w="226"/>
        <w:gridCol w:w="961"/>
        <w:gridCol w:w="109"/>
        <w:gridCol w:w="255"/>
        <w:gridCol w:w="255"/>
        <w:gridCol w:w="256"/>
        <w:gridCol w:w="226"/>
        <w:gridCol w:w="96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2664" w:type="dxa"/>
            <w:gridSpan w:val="46"/>
            <w:tcBorders/>
          </w:tcPr>
          <w:p>
            <w:pPr>
              <w:pStyle w:val="TableContents"/>
              <w:bidi w:val="0"/>
              <w:spacing w:before="0" w:after="283"/>
              <w:jc w:val="left"/>
              <w:rPr>
                <w:sz w:val="4"/>
                <w:szCs w:val="4"/>
              </w:rPr>
            </w:pPr>
            <w:r>
              <w:rPr>
                <w:sz w:val="4"/>
                <w:szCs w:val="4"/>
              </w:rPr>
            </w:r>
          </w:p>
        </w:tc>
      </w:tr>
      <w:tr>
        <w:trPr/>
        <w:tc>
          <w:tcPr>
            <w:tcW w:w="5864"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(amounts in 000s, except per share amounts)</w:t>
            </w:r>
          </w:p>
        </w:tc>
        <w:tc>
          <w:tcPr>
            <w:tcW w:w="3730" w:type="dxa"/>
            <w:gridSpan w:val="12"/>
            <w:tcBorders/>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Additional</w:t>
              <w:br/>
              <w:t>Paid-in</w:t>
              <w:b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 xml:space="preserve">Accumulated Other </w:t>
            </w:r>
          </w:p>
          <w:p>
            <w:pPr>
              <w:pStyle w:val="TableContents"/>
              <w:bidi w:val="0"/>
              <w:spacing w:lineRule="auto" w:line="240" w:before="0" w:after="0"/>
              <w:jc w:val="right"/>
              <w:rPr>
                <w:rFonts w:ascii="sans-serif" w:hAnsi="sans-serif"/>
                <w:b w:val="false"/>
                <w:color w:val="000000"/>
                <w:sz w:val="16"/>
              </w:rPr>
            </w:pPr>
            <w:r>
              <w:rPr>
                <w:rFonts w:ascii="sans-serif" w:hAnsi="sans-serif"/>
                <w:b w:val="false"/>
                <w:color w:val="000000"/>
                <w:sz w:val="16"/>
              </w:rPr>
              <w:t>Comprehensive</w:t>
            </w:r>
          </w:p>
          <w:p>
            <w:pPr>
              <w:pStyle w:val="TableContents"/>
              <w:bidi w:val="0"/>
              <w:spacing w:lineRule="auto" w:line="240" w:before="0" w:after="0"/>
              <w:jc w:val="right"/>
              <w:rPr/>
            </w:pPr>
            <w:r>
              <w:rPr>
                <w:rFonts w:ascii="sans-serif" w:hAnsi="sans-serif"/>
                <w:b w:val="false"/>
                <w:color w:val="000000"/>
                <w:sz w:val="16"/>
              </w:rPr>
              <w:t>Loss</w:t>
            </w:r>
            <w:r>
              <w:rPr>
                <w:rFonts w:ascii="sans-serif" w:hAns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Retained</w:t>
              <w:br/>
              <w:t xml:space="preserve">Earnings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w:t>
              <w:br/>
              <w:t>Stockholders’</w:t>
              <w:br/>
              <w:t>Equity</w:t>
            </w:r>
          </w:p>
        </w:tc>
        <w:tc>
          <w:tcPr>
            <w:tcW w:w="2107"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Amount</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170,916 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762,583 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(31,325)</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90,594 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167,615 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744,076 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(30,573)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(646,541)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(368,065)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 of treasury shares</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(190,396)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Cash dividends declared - $0.375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164,367 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752,093 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(908,785)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(30,523)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(872,460)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 xml:space="preserve">(1) </w:t>
      </w:r>
      <w:r>
        <w:rPr>
          <w:rFonts w:ascii="sans-serif" w:hAnsi="sans-serif"/>
          <w:b w:val="false"/>
          <w:color w:val="000000"/>
          <w:sz w:val="16"/>
        </w:rPr>
        <w:t>The balance of our accumulated other comprehensive loss consists of foreign currency translation adjustments.</w:t>
      </w:r>
    </w:p>
    <w:p>
      <w:pPr>
        <w:pStyle w:val="TextBody"/>
        <w:bidi w:val="0"/>
        <w:spacing w:lineRule="auto" w:line="288" w:before="0" w:after="0"/>
        <w:ind w:left="0" w:right="0" w:hanging="180"/>
        <w:jc w:val="both"/>
        <w:rPr/>
      </w:pPr>
      <w:r>
        <w:rPr>
          <w:rFonts w:ascii="sans-serif" w:hAnsi="sans-serif"/>
          <w:b w:val="false"/>
          <w:color w:val="000000"/>
          <w:sz w:val="10"/>
        </w:rPr>
        <w:t xml:space="preserve">(2) </w:t>
      </w:r>
      <w:r>
        <w:rPr>
          <w:rFonts w:ascii="sans-serif" w:hAnsi="sans-serif"/>
          <w:b w:val="false"/>
          <w:color w:val="000000"/>
          <w:sz w:val="16"/>
        </w:rPr>
        <w:t>Represents shares swapped or surrendered to us in connection with the vesting or exercise of stock-based awards.</w:t>
      </w:r>
    </w:p>
    <w:p>
      <w:pPr>
        <w:pStyle w:val="TextBody"/>
        <w:bidi w:val="0"/>
        <w:spacing w:lineRule="auto" w:line="288" w:before="60" w:after="283"/>
        <w:jc w:val="right"/>
        <w:rPr>
          <w:rFonts w:ascii="sans-serif" w:hAnsi="sans-serif"/>
          <w:b w:val="false"/>
          <w:color w:val="000000"/>
          <w:sz w:val="16"/>
        </w:rPr>
      </w:pPr>
      <w:r>
        <w:rPr>
          <w:rFonts w:ascii="sans-serif" w:hAnsi="sans-serif"/>
          <w:b w:val="false"/>
          <w:color w:val="000000"/>
          <w:sz w:val="16"/>
        </w:rPr>
        <w:t>See accompanying notes to consolidated financial statements.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pPr>
      <w:r>
        <w:rPr>
          <w:rFonts w:ascii="sans-serif" w:hAnsi="sans-serif"/>
          <w:b/>
          <w:color w:val="14AA40"/>
          <w:sz w:val="28"/>
        </w:rPr>
        <w:t>NOTES TO CONSOLIDATED FINANCIAL STATEMENTS</w:t>
      </w:r>
      <w:r>
        <w:rPr>
          <w:color w:val="000000"/>
        </w:rPr>
        <w:t xml:space="preserve">             </w:t>
      </w:r>
      <w:r>
        <w:rPr>
          <w:rFonts w:ascii="sans-serif" w:hAnsi="sans-serif"/>
          <w:b w:val="false"/>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sans-serif" w:hAnsi="sans-serif"/>
          <w:b/>
          <w:color w:val="14AA40"/>
          <w:sz w:val="28"/>
        </w:rPr>
        <w:t>NOTE 1: SUMMARY OF SIGNIFICANT ACCOUNTING POLICIES</w:t>
      </w:r>
      <w:r>
        <w:rPr>
          <w:color w:val="14AA40"/>
        </w:rPr>
        <w:t xml:space="preserve"> </w:t>
      </w:r>
    </w:p>
    <w:p>
      <w:pPr>
        <w:pStyle w:val="TextBody"/>
        <w:bidi w:val="0"/>
        <w:spacing w:lineRule="auto" w:line="288" w:before="120" w:after="283"/>
        <w:jc w:val="both"/>
        <w:rPr/>
      </w:pPr>
      <w:r>
        <w:rPr>
          <w:rFonts w:ascii="sans-serif" w:hAnsi="sans-serif"/>
          <w:b/>
          <w:color w:val="000000"/>
          <w:sz w:val="20"/>
        </w:rPr>
        <w:t>BASIS OF PRESENTATION</w:t>
      </w:r>
      <w:r>
        <w:rPr>
          <w:color w:val="000000"/>
        </w:rPr>
        <w:t xml:space="preserve"> – </w:t>
      </w:r>
      <w:r>
        <w:rPr>
          <w:rFonts w:ascii="sans-serif" w:hAnsi="sans-serif"/>
          <w:b w:val="false"/>
          <w:color w:val="000000"/>
          <w:sz w:val="20"/>
        </w:rPr>
        <w:t xml:space="preserve">The consolidated balance sheets as of December 31, 2025 and June 30, 2025, the consolidated statements of operations and comprehensive loss for the three and six months ended December 31, 2025 and 2024, the consolidated statements of cash flows for the six months ended December 31, 2025 and 2024, and the consolidated statements of stockholders' equity for the three and six months ended December 31, 2025 and 2024 have been prepared by the Company, without audit. In the opinion of management, all adjustments, which include only normal recurring adjustments, necessary to present fairly the financial position, results of operations, and cash flows as of December 31, 2025 and 2024 and for all periods presented, have been made.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2025 Annual Report on Form 10-K. All amounts presented herein as of June 30, 2025 or for the year then ended are derived from our Annual Report on Form 10-K.</w:t>
      </w:r>
    </w:p>
    <w:p>
      <w:pPr>
        <w:pStyle w:val="TextBody"/>
        <w:bidi w:val="0"/>
        <w:spacing w:lineRule="auto" w:line="288" w:before="120" w:after="283"/>
        <w:ind w:left="0" w:right="0" w:firstLine="225"/>
        <w:jc w:val="both"/>
        <w:rPr/>
      </w:pPr>
      <w:r>
        <w:rPr>
          <w:rFonts w:ascii="sans-serif" w:hAnsi="sans-serif"/>
          <w:b/>
          <w:color w:val="000000"/>
          <w:sz w:val="20"/>
        </w:rPr>
        <w:t>MANAGEMENT ESTIMATES</w:t>
      </w:r>
      <w:r>
        <w:rPr>
          <w:color w:val="000000"/>
        </w:rPr>
        <w:t xml:space="preserve"> – </w:t>
      </w:r>
      <w:r>
        <w:rPr>
          <w:rFonts w:ascii="sans-serif" w:hAnsi="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 </w:t>
      </w:r>
    </w:p>
    <w:p>
      <w:pPr>
        <w:pStyle w:val="TextBody"/>
        <w:bidi w:val="0"/>
        <w:spacing w:lineRule="auto" w:line="288" w:before="120" w:after="283"/>
        <w:ind w:left="0" w:right="0" w:firstLine="225"/>
        <w:jc w:val="both"/>
        <w:rPr/>
      </w:pPr>
      <w:r>
        <w:rPr>
          <w:rFonts w:ascii="sans-serif" w:hAnsi="sans-serif"/>
          <w:b/>
          <w:color w:val="000000"/>
          <w:sz w:val="20"/>
        </w:rPr>
        <w:t>SEASONALITY OF BUSINESS</w:t>
      </w:r>
      <w:r>
        <w:rPr>
          <w:color w:val="000000"/>
        </w:rPr>
        <w:t xml:space="preserve"> – </w:t>
      </w:r>
      <w:r>
        <w:rPr>
          <w:rFonts w:ascii="sans-serif" w:hAnsi="sans-serif"/>
          <w:b w:val="false"/>
          <w:color w:val="000000"/>
          <w:sz w:val="20"/>
        </w:rPr>
        <w:t>Our operating revenues are seasonal in nature with peak revenues typically occurring in the months of February through April. Therefore, results for interim periods are not indicative of results to be expected for the full year.</w:t>
      </w:r>
    </w:p>
    <w:p>
      <w:pPr>
        <w:pStyle w:val="TextBody"/>
        <w:bidi w:val="0"/>
        <w:spacing w:lineRule="auto" w:line="288" w:before="120" w:after="283"/>
        <w:ind w:left="0" w:right="0" w:firstLine="225"/>
        <w:jc w:val="both"/>
        <w:rPr/>
      </w:pPr>
      <w:r>
        <w:rPr>
          <w:rFonts w:ascii="sans-serif" w:hAnsi="sans-serif"/>
          <w:b/>
          <w:color w:val="000000"/>
          <w:sz w:val="20"/>
        </w:rPr>
        <w:t>DISCONTINUED OPERATIONS</w:t>
      </w:r>
      <w:r>
        <w:rPr>
          <w:color w:val="000000"/>
        </w:rPr>
        <w:t> – </w:t>
      </w:r>
      <w:r>
        <w:rPr>
          <w:rFonts w:ascii="sans-serif" w:hAnsi="sans-serif"/>
          <w:b w:val="false"/>
          <w:color w:val="000000"/>
          <w:sz w:val="20"/>
        </w:rPr>
        <w:t>Our discontinued operations include the results of operations of Sand Canyon Corporation, previously known as Option One Mortgage Corporation, which exited its mortgage business in fiscal year 2008.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37845"/>
                <wp:effectExtent l="0" t="0" r="0" b="0"/>
                <wp:wrapNone/>
                <wp:docPr id="8" name="Frame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pPr>
      <w:r>
        <w:rPr>
          <w:rFonts w:ascii="sans-serif" w:hAnsi="sans-serif"/>
          <w:b/>
          <w:color w:val="14AA40"/>
          <w:sz w:val="28"/>
        </w:rPr>
        <w:t>NOTE 2: REVENUE RECOGNITION</w:t>
      </w:r>
      <w:r>
        <w:rPr>
          <w:color w:val="14AA4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majority of our revenues are from our United States (U.S.) tax services business. The following table disaggregates our U.S. revenues by major service line, with revenues from our international tax services businesses and from Wave included as separate lines:</w:t>
      </w:r>
    </w:p>
    <w:tbl>
      <w:tblPr>
        <w:tblW w:w="10205" w:type="dxa"/>
        <w:jc w:val="left"/>
        <w:tblInd w:w="0" w:type="dxa"/>
        <w:tblLayout w:type="fixed"/>
        <w:tblCellMar>
          <w:top w:w="28" w:type="dxa"/>
          <w:left w:w="28" w:type="dxa"/>
          <w:bottom w:w="28" w:type="dxa"/>
          <w:right w:w="28" w:type="dxa"/>
        </w:tblCellMar>
      </w:tblPr>
      <w:tblGrid>
        <w:gridCol w:w="1214"/>
        <w:gridCol w:w="1033"/>
        <w:gridCol w:w="1041"/>
        <w:gridCol w:w="109"/>
        <w:gridCol w:w="109"/>
        <w:gridCol w:w="109"/>
        <w:gridCol w:w="247"/>
        <w:gridCol w:w="1055"/>
        <w:gridCol w:w="119"/>
        <w:gridCol w:w="119"/>
        <w:gridCol w:w="119"/>
        <w:gridCol w:w="119"/>
        <w:gridCol w:w="247"/>
        <w:gridCol w:w="1038"/>
        <w:gridCol w:w="119"/>
        <w:gridCol w:w="109"/>
        <w:gridCol w:w="109"/>
        <w:gridCol w:w="109"/>
        <w:gridCol w:w="235"/>
        <w:gridCol w:w="1002"/>
        <w:gridCol w:w="113"/>
        <w:gridCol w:w="113"/>
        <w:gridCol w:w="113"/>
        <w:gridCol w:w="113"/>
        <w:gridCol w:w="235"/>
        <w:gridCol w:w="987"/>
        <w:gridCol w:w="170"/>
      </w:tblGrid>
      <w:tr>
        <w:trPr/>
        <w:tc>
          <w:tcPr>
            <w:tcW w:w="121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assisted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55,919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104,563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5,108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DIY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16,807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20,552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16,231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39,740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4,244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8,366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9,124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16,976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34,718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100,379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29,785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59,635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12,845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26,321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198,865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179,070 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402,416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372,880 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Changes in the balances of deferred revenue and wages for our Peace of Mind® Extended Service Plan (POM) are as follows:</w:t>
      </w:r>
    </w:p>
    <w:tbl>
      <w:tblPr>
        <w:tblW w:w="10197" w:type="dxa"/>
        <w:jc w:val="left"/>
        <w:tblInd w:w="0" w:type="dxa"/>
        <w:tblLayout w:type="fixed"/>
        <w:tblCellMar>
          <w:top w:w="28" w:type="dxa"/>
          <w:left w:w="28" w:type="dxa"/>
          <w:bottom w:w="28" w:type="dxa"/>
          <w:right w:w="28" w:type="dxa"/>
        </w:tblCellMar>
      </w:tblPr>
      <w:tblGrid>
        <w:gridCol w:w="1421"/>
        <w:gridCol w:w="1245"/>
        <w:gridCol w:w="1264"/>
        <w:gridCol w:w="109"/>
        <w:gridCol w:w="109"/>
        <w:gridCol w:w="109"/>
        <w:gridCol w:w="226"/>
        <w:gridCol w:w="961"/>
        <w:gridCol w:w="109"/>
        <w:gridCol w:w="109"/>
        <w:gridCol w:w="109"/>
        <w:gridCol w:w="109"/>
        <w:gridCol w:w="226"/>
        <w:gridCol w:w="946"/>
        <w:gridCol w:w="109"/>
        <w:gridCol w:w="109"/>
        <w:gridCol w:w="109"/>
        <w:gridCol w:w="109"/>
        <w:gridCol w:w="226"/>
        <w:gridCol w:w="841"/>
        <w:gridCol w:w="109"/>
        <w:gridCol w:w="109"/>
        <w:gridCol w:w="109"/>
        <w:gridCol w:w="109"/>
        <w:gridCol w:w="226"/>
        <w:gridCol w:w="82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Deferred Wages</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149,302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156,610 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recognized on previous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(45,310)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107,696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14,103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val="false"/>
          <w:color w:val="000000"/>
          <w:sz w:val="20"/>
          <w:shd w:fill="FFFFFF" w:val="clear"/>
        </w:rPr>
        <w:t>As of December 31, 2025, deferred revenue related to POM was $107.7 million. W</w:t>
      </w:r>
      <w:r>
        <w:rPr>
          <w:rFonts w:ascii="sans-serif" w:hAnsi="sans-serif"/>
          <w:b w:val="false"/>
          <w:color w:val="000000"/>
          <w:sz w:val="20"/>
        </w:rPr>
        <w:t xml:space="preserve">e expect that $80.2 million will be recognized over the next twelve months, while the remaining balance will be recognized over the following five years.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As of December 31, 2025 and 2024, Tax Identity Shield® (TIS) deferred revenue was $14.9 million and $14.1 million, respectively. Deferred revenue related to TIS was $22.6 million and $21.4 million as of June 30, 2025 and 2024, respectively. All deferred revenue related to TIS will be recognized by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3: EARNINGS PER SHARE AND STOCKHOLDERS' EQUITY </w:t>
      </w:r>
    </w:p>
    <w:p>
      <w:pPr>
        <w:pStyle w:val="TextBody"/>
        <w:bidi w:val="0"/>
        <w:spacing w:lineRule="auto" w:line="288" w:before="120" w:after="283"/>
        <w:jc w:val="both"/>
        <w:rPr/>
      </w:pPr>
      <w:r>
        <w:rPr>
          <w:rFonts w:ascii="sans-serif" w:hAnsi="sans-serif"/>
          <w:b/>
          <w:color w:val="000000"/>
          <w:sz w:val="20"/>
        </w:rPr>
        <w:t xml:space="preserve">EARNINGS PER SHARE </w:t>
      </w:r>
      <w:r>
        <w:rPr>
          <w:color w:val="000000"/>
        </w:rPr>
        <w:t xml:space="preserve">– </w:t>
      </w:r>
      <w:r>
        <w:rPr>
          <w:rFonts w:ascii="sans-serif" w:hAnsi="sans-serif"/>
          <w:b w:val="false"/>
          <w:color w:val="000000"/>
          <w:sz w:val="20"/>
        </w:rPr>
        <w:t xml:space="preserve">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2.4 million shares for the three and six months ended December 31, 2025 and 2.7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9"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shares for the three and six months ended December 31, 2024, as the effect would be antidilutive due to the net loss from continuing operations during the periods.</w:t>
      </w:r>
    </w:p>
    <w:p>
      <w:pPr>
        <w:pStyle w:val="TextBody"/>
        <w:bidi w:val="0"/>
        <w:spacing w:lineRule="auto" w:line="288" w:before="120" w:after="283"/>
        <w:ind w:left="0" w:right="0" w:firstLine="225"/>
        <w:jc w:val="left"/>
        <w:rPr>
          <w:rFonts w:ascii="sans-serif" w:hAnsi="sans-serif"/>
          <w:b w:val="false"/>
          <w:color w:val="000000"/>
          <w:sz w:val="20"/>
        </w:rPr>
      </w:pPr>
      <w:r>
        <w:rPr>
          <w:rFonts w:ascii="sans-serif" w:hAnsi="sans-serif"/>
          <w:b w:val="false"/>
          <w:color w:val="000000"/>
          <w:sz w:val="20"/>
        </w:rPr>
        <w:t>The computations of basic and diluted earnings (loss)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1244"/>
        <w:gridCol w:w="1093"/>
        <w:gridCol w:w="1098"/>
        <w:gridCol w:w="109"/>
        <w:gridCol w:w="109"/>
        <w:gridCol w:w="109"/>
        <w:gridCol w:w="232"/>
        <w:gridCol w:w="1033"/>
        <w:gridCol w:w="112"/>
        <w:gridCol w:w="112"/>
        <w:gridCol w:w="112"/>
        <w:gridCol w:w="112"/>
        <w:gridCol w:w="232"/>
        <w:gridCol w:w="1018"/>
        <w:gridCol w:w="112"/>
        <w:gridCol w:w="109"/>
        <w:gridCol w:w="109"/>
        <w:gridCol w:w="109"/>
        <w:gridCol w:w="226"/>
        <w:gridCol w:w="1004"/>
        <w:gridCol w:w="109"/>
        <w:gridCol w:w="109"/>
        <w:gridCol w:w="109"/>
        <w:gridCol w:w="109"/>
        <w:gridCol w:w="226"/>
        <w:gridCol w:w="989"/>
        <w:gridCol w:w="160"/>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18"/>
              </w:rPr>
            </w:pPr>
            <w:r>
              <w:rPr>
                <w:rFonts w:ascii="sans-serif" w:hAnsi="sans-serif"/>
                <w:b w:val="false"/>
                <w:color w:val="000000"/>
                <w:sz w:val="18"/>
              </w:rPr>
              <w:t>2024</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attributable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(241,844)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(242,706)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(414,356)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126,566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135,563 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137,359 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Potential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126,566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135,563 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137,359 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per share from continuing operations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The decrease in the weighted average shares outstanding is due to share repurchases completed in the current and prior fiscal years. </w:t>
      </w:r>
    </w:p>
    <w:p>
      <w:pPr>
        <w:pStyle w:val="TextBody"/>
        <w:bidi w:val="0"/>
        <w:spacing w:lineRule="auto" w:line="288" w:before="120" w:after="283"/>
        <w:ind w:left="0" w:right="0" w:firstLine="270"/>
        <w:jc w:val="both"/>
        <w:rPr/>
      </w:pPr>
      <w:r>
        <w:rPr>
          <w:rFonts w:ascii="sans-serif" w:hAnsi="sans-serif"/>
          <w:b/>
          <w:color w:val="000000"/>
          <w:sz w:val="20"/>
          <w:shd w:fill="FFFFFF" w:val="clear"/>
        </w:rPr>
        <w:t>STOCK-BASED COMPENSATION</w:t>
      </w:r>
      <w:r>
        <w:rPr>
          <w:color w:val="000000"/>
        </w:rPr>
        <w:t xml:space="preserve"> – </w:t>
      </w:r>
      <w:r>
        <w:rPr>
          <w:rFonts w:ascii="sans-serif" w:hAnsi="sans-serif"/>
          <w:b w:val="false"/>
          <w:color w:val="000000"/>
          <w:sz w:val="20"/>
        </w:rPr>
        <w:t xml:space="preserve">We granted 0.9 million and 1.1 million shares, including adjustments for performance achievement and dividend equivalents, under our stock-based compensation plans during the six months ended December 31, 2025 and 2024, respectively. Stock-based compensation expense of our continuing operations totaled $7.6 million and $13.8 million for the three and six months ended December 31, 2025, respectively, and $9.2 million and $17.9 million for the three and six months ended December 31, 2024, respectively. As of December 31, 2025, unrecognized compensation cost for nonvested shares and units totaled $62.9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4: RECEIVABLES </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477"/>
        <w:gridCol w:w="1287"/>
        <w:gridCol w:w="1293"/>
        <w:gridCol w:w="109"/>
        <w:gridCol w:w="109"/>
        <w:gridCol w:w="109"/>
        <w:gridCol w:w="226"/>
        <w:gridCol w:w="961"/>
        <w:gridCol w:w="109"/>
        <w:gridCol w:w="109"/>
        <w:gridCol w:w="109"/>
        <w:gridCol w:w="109"/>
        <w:gridCol w:w="226"/>
        <w:gridCol w:w="841"/>
        <w:gridCol w:w="109"/>
        <w:gridCol w:w="109"/>
        <w:gridCol w:w="109"/>
        <w:gridCol w:w="109"/>
        <w:gridCol w:w="226"/>
        <w:gridCol w:w="826"/>
        <w:gridCol w:w="109"/>
        <w:gridCol w:w="109"/>
        <w:gridCol w:w="109"/>
        <w:gridCol w:w="109"/>
        <w:gridCol w:w="226"/>
        <w:gridCol w:w="826"/>
        <w:gridCol w:w="155"/>
      </w:tblGrid>
      <w:tr>
        <w:trPr/>
        <w:tc>
          <w:tcPr>
            <w:tcW w:w="14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 2025</w:t>
            </w:r>
          </w:p>
        </w:tc>
      </w:tr>
      <w:tr>
        <w:trPr/>
        <w:tc>
          <w:tcPr>
            <w:tcW w:w="4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r>
      <w:tr>
        <w:trPr/>
        <w:tc>
          <w:tcPr>
            <w:tcW w:w="4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19,476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16,402 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for U.S. assisted and DIY tax preparation and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6,696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18"/>
              </w:rPr>
            </w:pPr>
            <w:r>
              <w:rPr>
                <w:rFonts w:ascii="sans-serif" w:hAnsi="sans-serif"/>
                <w:b w:val="false"/>
                <w:color w:val="000000"/>
                <w:sz w:val="18"/>
              </w:rPr>
              <w:t>H&amp;R Block's Instant Refund®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Emerald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287,316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Software receivables from retailers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 and other receivables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 payment processing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352,480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47,280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37845"/>
                <wp:effectExtent l="0" t="0" r="0" b="0"/>
                <wp:wrapNone/>
                <wp:docPr id="10" name="Frame1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00" w:after="283"/>
        <w:ind w:left="0" w:right="0" w:firstLine="270"/>
        <w:jc w:val="both"/>
        <w:rPr>
          <w:rFonts w:ascii="sans-serif" w:hAnsi="sans-serif"/>
          <w:b w:val="false"/>
          <w:color w:val="000000"/>
          <w:sz w:val="20"/>
        </w:rPr>
      </w:pPr>
      <w:r>
        <w:rPr>
          <w:rFonts w:ascii="sans-serif" w:hAns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sans-serif" w:hAnsi="sans-serif"/>
          <w:b/>
          <w:color w:val="000000"/>
          <w:sz w:val="20"/>
        </w:rPr>
        <w:t xml:space="preserve">LOANS TO FRANCHISEES </w:t>
      </w:r>
      <w:r>
        <w:rPr>
          <w:color w:val="000000"/>
        </w:rPr>
        <w:t xml:space="preserve">– </w:t>
      </w:r>
      <w:r>
        <w:rPr>
          <w:rFonts w:ascii="sans-serif" w:hAnsi="sans-serif"/>
          <w:b w:val="false"/>
          <w:color w:val="000000"/>
          <w:sz w:val="20"/>
        </w:rPr>
        <w:t xml:space="preserve">Franchisee loan balances consist of term loans made primarily to finance the purchase of franchises and revolving lines of credit primarily for the purpose of funding working capital needs. Loans with a principal balance more than 90 days past due or on non-accrual status were $3.0 million and $3.1 million as of </w:t>
      </w:r>
      <w:r>
        <w:rPr>
          <w:rFonts w:ascii="sans-serif" w:hAnsi="sans-serif"/>
          <w:b w:val="false"/>
          <w:color w:val="000000"/>
          <w:sz w:val="20"/>
          <w:shd w:fill="FFFFFF" w:val="clear"/>
        </w:rPr>
        <w:t xml:space="preserve">December 31, 2025 </w:t>
      </w:r>
      <w:r>
        <w:rPr>
          <w:rFonts w:ascii="sans-serif" w:hAnsi="sans-serif"/>
          <w:b w:val="false"/>
          <w:color w:val="000000"/>
          <w:sz w:val="20"/>
        </w:rPr>
        <w:t xml:space="preserve">and June 30, 2025, respectively. </w:t>
      </w:r>
    </w:p>
    <w:p>
      <w:pPr>
        <w:pStyle w:val="TextBody"/>
        <w:bidi w:val="0"/>
        <w:spacing w:lineRule="auto" w:line="288" w:before="120" w:after="283"/>
        <w:ind w:left="0" w:right="0" w:firstLine="225"/>
        <w:jc w:val="both"/>
        <w:rPr/>
      </w:pPr>
      <w:r>
        <w:rPr>
          <w:rFonts w:ascii="sans-serif" w:hAnsi="sans-serif"/>
          <w:b/>
          <w:color w:val="000000"/>
          <w:sz w:val="20"/>
        </w:rPr>
        <w:t>H&amp;R BLOCK'S INSTANT REFUND</w:t>
      </w:r>
      <w:r>
        <w:rPr>
          <w:rFonts w:ascii="sans-serif" w:hAnsi="sans-serif"/>
          <w:b w:val="false"/>
          <w:color w:val="000000"/>
          <w:sz w:val="20"/>
        </w:rPr>
        <w:t>®</w:t>
      </w:r>
      <w:r>
        <w:rPr>
          <w:color w:val="000000"/>
        </w:rPr>
        <w:t xml:space="preserve"> – </w:t>
      </w:r>
      <w:r>
        <w:rPr>
          <w:rFonts w:ascii="sans-serif" w:hAnsi="sans-serif"/>
          <w:b w:val="false"/>
          <w:color w:val="000000"/>
          <w:sz w:val="20"/>
        </w:rPr>
        <w:t xml:space="preserve">H&amp;R Block's Instant Refund® amounts are generally received from the Canada Revenue Agency within 60 days of filing the client's return, with the remaining balance collectible from the client.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pStyle w:val="TextBody"/>
        <w:bidi w:val="0"/>
        <w:spacing w:lineRule="auto" w:line="288" w:before="120" w:after="283"/>
        <w:ind w:left="0" w:right="0" w:firstLine="225"/>
        <w:jc w:val="both"/>
        <w:rPr/>
      </w:pPr>
      <w:r>
        <w:rPr>
          <w:rFonts w:ascii="sans-serif" w:hAnsi="sans-serif"/>
          <w:b w:val="false"/>
          <w:color w:val="000000"/>
          <w:sz w:val="20"/>
        </w:rPr>
        <w:t>Balances and amounts on non-accrual status, classified as impaired, or more than 60 days past due, by tax return year of origination, as of December 31, 2025 are as foll</w:t>
      </w:r>
      <w:r>
        <w:rPr>
          <w:rFonts w:ascii="sans-serif" w:hAnsi="sans-serif"/>
          <w:b w:val="false"/>
          <w:color w:val="000000"/>
          <w:sz w:val="20"/>
          <w:shd w:fill="FFFFFF" w:val="clear"/>
        </w:rPr>
        <w:t>ows:</w:t>
      </w:r>
    </w:p>
    <w:tbl>
      <w:tblPr>
        <w:tblW w:w="7214"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26"/>
        <w:gridCol w:w="721"/>
        <w:gridCol w:w="109"/>
        <w:gridCol w:w="109"/>
        <w:gridCol w:w="109"/>
        <w:gridCol w:w="109"/>
        <w:gridCol w:w="563"/>
        <w:gridCol w:w="1798"/>
        <w:gridCol w:w="38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072"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More Than 60 Days Past Due</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918</w:t>
            </w:r>
            <w:r>
              <w:rPr>
                <w:color w:val="000000"/>
              </w:rPr>
              <w:t> </w:t>
            </w:r>
          </w:p>
        </w:tc>
        <w:tc>
          <w:tcPr>
            <w:tcW w:w="3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2023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561</w:t>
            </w: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1,479</w:t>
            </w:r>
            <w:r>
              <w:rPr>
                <w:color w:val="000000"/>
              </w:rPr>
              <w:t>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color w:val="000000"/>
          <w:sz w:val="20"/>
        </w:rPr>
        <w:t>EMERALD ADVANCE</w:t>
      </w:r>
      <w:r>
        <w:rPr>
          <w:rFonts w:ascii="sans-serif" w:hAnsi="sans-serif"/>
          <w:b w:val="false"/>
          <w:color w:val="000000"/>
          <w:sz w:val="20"/>
        </w:rPr>
        <w:t>®</w:t>
      </w:r>
      <w:r>
        <w:rPr>
          <w:color w:val="000000"/>
        </w:rPr>
        <w:t xml:space="preserve"> – </w:t>
      </w:r>
      <w:r>
        <w:rPr>
          <w:rFonts w:ascii="sans-serif" w:hAnsi="sans-serif"/>
          <w:b w:val="false"/>
          <w:color w:val="000000"/>
          <w:sz w:val="20"/>
        </w:rPr>
        <w:t>We review the credit quality of our purchased participation interests in Emerald Advance® (EA) receivables based on 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EAs to an amount we believe represents the net realizable value.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Balances and amounts on non-accrual status, classified as impaired, or more than 60 days past due, by fiscal year of origination, as of December 31, 2025 are as follows:</w:t>
      </w:r>
    </w:p>
    <w:tbl>
      <w:tblPr>
        <w:tblW w:w="5505" w:type="dxa"/>
        <w:jc w:val="left"/>
        <w:tblInd w:w="0" w:type="dxa"/>
        <w:tblLayout w:type="fixed"/>
        <w:tblCellMar>
          <w:top w:w="28" w:type="dxa"/>
          <w:left w:w="28" w:type="dxa"/>
          <w:bottom w:w="28" w:type="dxa"/>
          <w:right w:w="28" w:type="dxa"/>
        </w:tblCellMar>
      </w:tblPr>
      <w:tblGrid>
        <w:gridCol w:w="835"/>
        <w:gridCol w:w="735"/>
        <w:gridCol w:w="739"/>
        <w:gridCol w:w="109"/>
        <w:gridCol w:w="109"/>
        <w:gridCol w:w="109"/>
        <w:gridCol w:w="226"/>
        <w:gridCol w:w="961"/>
        <w:gridCol w:w="109"/>
        <w:gridCol w:w="109"/>
        <w:gridCol w:w="109"/>
        <w:gridCol w:w="109"/>
        <w:gridCol w:w="230"/>
        <w:gridCol w:w="858"/>
        <w:gridCol w:w="158"/>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5"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Non-Accrual</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294,761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2025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36,529</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331,290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36,529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311,397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sans-serif" w:hAnsi="sans-serif"/>
          <w:b/>
          <w:color w:val="000000"/>
          <w:sz w:val="20"/>
        </w:rPr>
        <w:t xml:space="preserve">ALLOWANCE FOR CREDIT LOSSES </w:t>
      </w:r>
      <w:r>
        <w:rPr>
          <w:color w:val="000000"/>
        </w:rPr>
        <w:t xml:space="preserve">– </w:t>
      </w:r>
      <w:r>
        <w:rPr>
          <w:rFonts w:ascii="sans-serif" w:hAnsi="sans-serif"/>
          <w:b w:val="false"/>
          <w:color w:val="000000"/>
          <w:sz w:val="20"/>
        </w:rPr>
        <w:t>Activity in the allowance for credit losses for EA and all other short-term and long-term receivables for the six months ended December 31, 2025 and 2024 is as follows:</w:t>
      </w:r>
    </w:p>
    <w:tbl>
      <w:tblPr>
        <w:tblW w:w="8493" w:type="dxa"/>
        <w:jc w:val="left"/>
        <w:tblInd w:w="0" w:type="dxa"/>
        <w:tblLayout w:type="fixed"/>
        <w:tblCellMar>
          <w:top w:w="28" w:type="dxa"/>
          <w:left w:w="28" w:type="dxa"/>
          <w:bottom w:w="28" w:type="dxa"/>
          <w:right w:w="28" w:type="dxa"/>
        </w:tblCellMar>
      </w:tblPr>
      <w:tblGrid>
        <w:gridCol w:w="1191"/>
        <w:gridCol w:w="1044"/>
        <w:gridCol w:w="1050"/>
        <w:gridCol w:w="109"/>
        <w:gridCol w:w="109"/>
        <w:gridCol w:w="109"/>
        <w:gridCol w:w="226"/>
        <w:gridCol w:w="841"/>
        <w:gridCol w:w="109"/>
        <w:gridCol w:w="109"/>
        <w:gridCol w:w="109"/>
        <w:gridCol w:w="109"/>
        <w:gridCol w:w="109"/>
        <w:gridCol w:w="109"/>
        <w:gridCol w:w="109"/>
        <w:gridCol w:w="109"/>
        <w:gridCol w:w="109"/>
        <w:gridCol w:w="109"/>
        <w:gridCol w:w="226"/>
        <w:gridCol w:w="841"/>
        <w:gridCol w:w="109"/>
        <w:gridCol w:w="109"/>
        <w:gridCol w:w="109"/>
        <w:gridCol w:w="109"/>
        <w:gridCol w:w="226"/>
        <w:gridCol w:w="841"/>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2"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3051" w:type="dxa"/>
            <w:gridSpan w:val="12"/>
            <w:tcBorders/>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Total</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19,663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45,156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64,819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(44,627)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(64,290)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21,673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July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25"/>
        <w:jc w:val="both"/>
        <w:rPr>
          <w:rFonts w:ascii="sans-serif" w:hAnsi="sans-serif"/>
          <w:b w:val="false"/>
          <w:color w:val="000000"/>
          <w:sz w:val="20"/>
        </w:rPr>
      </w:pPr>
      <w:r>
        <w:rPr>
          <w:rFonts w:ascii="sans-serif" w:hAnsi="sans-serif"/>
          <w:b w:val="false"/>
          <w:color w:val="000000"/>
          <w:sz w:val="20"/>
        </w:rPr>
        <w:t>For the six months ended December 31, 2025, there were $19.7 million of gross charge-offs related to EAs which were originated in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5: GOODWILL AND INTANGIBLE ASSETS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Changes in the carrying amount of goodwill for the six months ended December 31, 2025 are as follows:</w:t>
      </w:r>
    </w:p>
    <w:tbl>
      <w:tblPr>
        <w:tblW w:w="10205" w:type="dxa"/>
        <w:jc w:val="left"/>
        <w:tblInd w:w="0" w:type="dxa"/>
        <w:tblLayout w:type="fixed"/>
        <w:tblCellMar>
          <w:top w:w="28" w:type="dxa"/>
          <w:left w:w="28" w:type="dxa"/>
          <w:bottom w:w="28" w:type="dxa"/>
          <w:right w:w="28" w:type="dxa"/>
        </w:tblCellMar>
      </w:tblPr>
      <w:tblGrid>
        <w:gridCol w:w="1374"/>
        <w:gridCol w:w="1153"/>
        <w:gridCol w:w="1160"/>
        <w:gridCol w:w="109"/>
        <w:gridCol w:w="109"/>
        <w:gridCol w:w="109"/>
        <w:gridCol w:w="226"/>
        <w:gridCol w:w="961"/>
        <w:gridCol w:w="109"/>
        <w:gridCol w:w="109"/>
        <w:gridCol w:w="109"/>
        <w:gridCol w:w="109"/>
        <w:gridCol w:w="456"/>
        <w:gridCol w:w="2112"/>
        <w:gridCol w:w="219"/>
        <w:gridCol w:w="109"/>
        <w:gridCol w:w="109"/>
        <w:gridCol w:w="109"/>
        <w:gridCol w:w="226"/>
        <w:gridCol w:w="961"/>
        <w:gridCol w:w="109"/>
        <w:gridCol w:w="158"/>
      </w:tblGrid>
      <w:tr>
        <w:trPr/>
        <w:tc>
          <w:tcPr>
            <w:tcW w:w="137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Accumulated Impairment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Net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8"/>
              </w:rPr>
            </w:pPr>
            <w:r>
              <w:rPr>
                <w:rFonts w:ascii="sans-serif" w:hAnsi="sans-serif"/>
                <w:b w:val="false"/>
                <w:color w:val="000000"/>
                <w:sz w:val="18"/>
              </w:rPr>
              <w:t>Balances as of 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940,350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1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(138,297)</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802,053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Acquisitions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Disposals and foreign currency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Balances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953,915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(138,297)</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815,618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color w:val="000000"/>
        </w:rPr>
        <w:t>    </w:t>
      </w:r>
      <w:r>
        <w:rPr>
          <w:rFonts w:ascii="sans-serif" w:hAnsi="sans-serif"/>
          <w:b w:val="false"/>
          <w:color w:val="000000"/>
          <w:sz w:val="16"/>
        </w:rPr>
        <w:t>All goodwill added during the period is expected to be tax-deductible for federal income tax reporting.</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test goodwill for impairment annually as of February 1, or more frequently if events occur or circumstances change which would, more likely than not, reduce the fair value of a reporting unit below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37845"/>
                <wp:effectExtent l="0" t="0" r="0" b="0"/>
                <wp:wrapNone/>
                <wp:docPr id="12" name="Frame1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Components of intangible assets are as follows:</w:t>
      </w:r>
    </w:p>
    <w:tbl>
      <w:tblPr>
        <w:tblW w:w="8702" w:type="dxa"/>
        <w:jc w:val="left"/>
        <w:tblInd w:w="0" w:type="dxa"/>
        <w:tblLayout w:type="fixed"/>
        <w:tblCellMar>
          <w:top w:w="28" w:type="dxa"/>
          <w:left w:w="28" w:type="dxa"/>
          <w:bottom w:w="28" w:type="dxa"/>
          <w:right w:w="28" w:type="dxa"/>
        </w:tblCellMar>
      </w:tblPr>
      <w:tblGrid>
        <w:gridCol w:w="1011"/>
        <w:gridCol w:w="886"/>
        <w:gridCol w:w="892"/>
        <w:gridCol w:w="109"/>
        <w:gridCol w:w="109"/>
        <w:gridCol w:w="109"/>
        <w:gridCol w:w="334"/>
        <w:gridCol w:w="1710"/>
        <w:gridCol w:w="161"/>
        <w:gridCol w:w="109"/>
        <w:gridCol w:w="109"/>
        <w:gridCol w:w="109"/>
        <w:gridCol w:w="226"/>
        <w:gridCol w:w="1051"/>
        <w:gridCol w:w="109"/>
        <w:gridCol w:w="109"/>
        <w:gridCol w:w="109"/>
        <w:gridCol w:w="109"/>
        <w:gridCol w:w="226"/>
        <w:gridCol w:w="96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2"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278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Net</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429,290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(250,627)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178,663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372,444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(298,667)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73,777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121,282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23,774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68,100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(58,144)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9,956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5,800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1,020,690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(749,636)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271,054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354,107 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119,959 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68,100 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986,736 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(727,324)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rPr>
        <w:t>We made payments to acquire businesses totaling $35.4 million and $28.0 million during the six months ended December 31, 2025 and 2024, respectively. The amounts and weighted-average lives of intangible assets acquired during the six months e</w:t>
      </w:r>
      <w:r>
        <w:rPr>
          <w:rFonts w:ascii="sans-serif" w:hAnsi="sans-serif"/>
          <w:b w:val="false"/>
          <w:color w:val="000000"/>
          <w:sz w:val="20"/>
          <w:shd w:fill="FFFFFF" w:val="clear"/>
        </w:rPr>
        <w:t>nded December 31, 2025, including amounts capitalized related to internally-developed software, a</w:t>
      </w:r>
      <w:r>
        <w:rPr>
          <w:rFonts w:ascii="sans-serif" w:hAnsi="sans-serif"/>
          <w:b w:val="false"/>
          <w:color w:val="000000"/>
          <w:sz w:val="20"/>
        </w:rPr>
        <w:t>re as follows:</w:t>
      </w:r>
    </w:p>
    <w:tbl>
      <w:tblPr>
        <w:tblW w:w="7723" w:type="dxa"/>
        <w:jc w:val="left"/>
        <w:tblInd w:w="0" w:type="dxa"/>
        <w:tblLayout w:type="fixed"/>
        <w:tblCellMar>
          <w:top w:w="28" w:type="dxa"/>
          <w:left w:w="28" w:type="dxa"/>
          <w:bottom w:w="28" w:type="dxa"/>
          <w:right w:w="28" w:type="dxa"/>
        </w:tblCellMar>
      </w:tblPr>
      <w:tblGrid>
        <w:gridCol w:w="1011"/>
        <w:gridCol w:w="886"/>
        <w:gridCol w:w="892"/>
        <w:gridCol w:w="109"/>
        <w:gridCol w:w="109"/>
        <w:gridCol w:w="109"/>
        <w:gridCol w:w="226"/>
        <w:gridCol w:w="841"/>
        <w:gridCol w:w="109"/>
        <w:gridCol w:w="109"/>
        <w:gridCol w:w="109"/>
        <w:gridCol w:w="109"/>
        <w:gridCol w:w="909"/>
        <w:gridCol w:w="909"/>
        <w:gridCol w:w="128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7723"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(dollars in 000s)</w:t>
            </w:r>
          </w:p>
        </w:tc>
      </w:tr>
      <w:tr>
        <w:trPr/>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Weighted-Average Life (in years)</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18,426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Internally-developed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5</w:t>
            </w:r>
          </w:p>
        </w:tc>
      </w:tr>
      <w:tr>
        <w:trPr/>
        <w:tc>
          <w:tcPr>
            <w:tcW w:w="27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sans-serif" w:hAnsi="sans-serif"/>
          <w:b w:val="false"/>
          <w:color w:val="000000"/>
          <w:sz w:val="20"/>
        </w:rPr>
        <w:t>Amortization of intangible assets for the three and six</w:t>
      </w:r>
      <w:r>
        <w:rPr>
          <w:color w:val="000000"/>
          <w:shd w:fill="FFFFFF" w:val="clear"/>
        </w:rPr>
        <w:t xml:space="preserve"> </w:t>
      </w:r>
      <w:r>
        <w:rPr>
          <w:rFonts w:ascii="sans-serif" w:hAnsi="sans-serif"/>
          <w:b w:val="false"/>
          <w:color w:val="000000"/>
          <w:sz w:val="20"/>
          <w:shd w:fill="FFFFFF" w:val="clear"/>
        </w:rPr>
        <w:t xml:space="preserve">months ended December 31, 2025 was $11.3 million and </w:t>
      </w:r>
      <w:r>
        <w:rPr>
          <w:rFonts w:ascii="sans-serif" w:hAnsi="sans-serif"/>
          <w:b w:val="false"/>
          <w:color w:val="000000"/>
          <w:sz w:val="20"/>
        </w:rPr>
        <w:t>$22.4 million</w:t>
      </w:r>
      <w:r>
        <w:rPr>
          <w:color w:val="000000"/>
          <w:shd w:fill="FFFFFF" w:val="clear"/>
        </w:rPr>
        <w:t xml:space="preserve"> </w:t>
      </w:r>
      <w:r>
        <w:rPr>
          <w:rFonts w:ascii="sans-serif" w:hAnsi="sans-serif"/>
          <w:b w:val="false"/>
          <w:color w:val="000000"/>
          <w:sz w:val="20"/>
          <w:shd w:fill="FFFFFF" w:val="clear"/>
        </w:rPr>
        <w:t>respectively, compared to $12.1 million and $25.0 million</w:t>
      </w:r>
      <w:r>
        <w:rPr>
          <w:color w:val="000000"/>
        </w:rPr>
        <w:t xml:space="preserve"> </w:t>
      </w:r>
      <w:r>
        <w:rPr>
          <w:rFonts w:ascii="sans-serif" w:hAnsi="sans-serif"/>
          <w:b w:val="false"/>
          <w:color w:val="000000"/>
          <w:sz w:val="20"/>
          <w:shd w:fill="FFFFFF" w:val="clear"/>
        </w:rPr>
        <w:t xml:space="preserve">for the </w:t>
      </w:r>
      <w:r>
        <w:rPr>
          <w:rFonts w:ascii="sans-serif" w:hAnsi="sans-serif"/>
          <w:b w:val="false"/>
          <w:color w:val="000000"/>
          <w:sz w:val="20"/>
        </w:rPr>
        <w:t>three and six</w:t>
      </w:r>
      <w:r>
        <w:rPr>
          <w:color w:val="000000"/>
          <w:shd w:fill="FFFFFF" w:val="clear"/>
        </w:rPr>
        <w:t xml:space="preserve"> </w:t>
      </w:r>
      <w:r>
        <w:rPr>
          <w:rFonts w:ascii="sans-serif" w:hAnsi="sans-serif"/>
          <w:b w:val="false"/>
          <w:color w:val="000000"/>
          <w:sz w:val="20"/>
          <w:shd w:fill="FFFFFF" w:val="clear"/>
        </w:rPr>
        <w:t>months ended December 31, 2024. Estimated amortization of intangible assets for fiscal years ending June 30, 2026, 2027, 2028, 2029, and 2030 is $47.3 million, $45.0 million, $36.6 million, $27.7 million and $17.8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pPr>
      <w:r>
        <w:rPr>
          <w:rFonts w:ascii="sans-serif" w:hAnsi="sans-serif"/>
          <w:b/>
          <w:color w:val="14AA40"/>
          <w:sz w:val="28"/>
        </w:rPr>
        <w:t>NOTE 6: LONG-TERM DEBT</w:t>
      </w:r>
      <w:r>
        <w:rPr>
          <w:color w:val="14AA40"/>
        </w:rPr>
        <w:t xml:space="preserve">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components of long-term debt are as follows:</w:t>
      </w:r>
    </w:p>
    <w:tbl>
      <w:tblPr>
        <w:tblW w:w="8370" w:type="dxa"/>
        <w:jc w:val="center"/>
        <w:tblInd w:w="0" w:type="dxa"/>
        <w:tblLayout w:type="fixed"/>
        <w:tblCellMar>
          <w:top w:w="28" w:type="dxa"/>
          <w:left w:w="28" w:type="dxa"/>
          <w:bottom w:w="28" w:type="dxa"/>
          <w:right w:w="28" w:type="dxa"/>
        </w:tblCellMar>
      </w:tblPr>
      <w:tblGrid>
        <w:gridCol w:w="1502"/>
        <w:gridCol w:w="1324"/>
        <w:gridCol w:w="1329"/>
        <w:gridCol w:w="109"/>
        <w:gridCol w:w="109"/>
        <w:gridCol w:w="109"/>
        <w:gridCol w:w="311"/>
        <w:gridCol w:w="1594"/>
        <w:gridCol w:w="150"/>
        <w:gridCol w:w="109"/>
        <w:gridCol w:w="109"/>
        <w:gridCol w:w="109"/>
        <w:gridCol w:w="226"/>
        <w:gridCol w:w="112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2025</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5.250%, due October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2.500%, due July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500,000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3.875%, due 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650,000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Senior Notes, 5.375%, due September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350,000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Committed line of credit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945,000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(9,621)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2,435,379</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1,493,198 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2,435,379</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1,143,305 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Estimated fair value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2,401,000</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were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pStyle w:val="TextBody"/>
        <w:bidi w:val="0"/>
        <w:spacing w:lineRule="auto" w:line="288" w:before="120" w:after="283"/>
        <w:ind w:left="0" w:right="0" w:firstLine="270"/>
        <w:jc w:val="both"/>
        <w:rPr/>
      </w:pPr>
      <w:r>
        <w:rPr>
          <w:rFonts w:ascii="sans-serif" w:hAnsi="sans-serif"/>
          <w:b/>
          <w:color w:val="000000"/>
          <w:sz w:val="20"/>
        </w:rPr>
        <w:t>UNSECURED COMMITTED LINE OF CREDIT –</w:t>
      </w:r>
      <w:r>
        <w:rPr>
          <w:color w:val="000000"/>
        </w:rPr>
        <w:t xml:space="preserve"> </w:t>
      </w:r>
      <w:r>
        <w:rPr>
          <w:rFonts w:ascii="sans-serif" w:hAnsi="sans-serif"/>
          <w:b w:val="false"/>
          <w:color w:val="000000"/>
          <w:sz w:val="20"/>
        </w:rPr>
        <w:t>On July 11, 2025, we entered into a Fifth Amended and Restated Credit and Guarantee 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our previous CLOC.</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2025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2025 CLOC will mature on July 11, 2030, unless extended pursuant to the terms of the 2025 CLOC, at which time all outstanding amounts thereunder will be due and payable. Our 2025 CLOC includes an annual facility fee, which will vary depending on our then current credit ratings.</w:t>
      </w:r>
    </w:p>
    <w:p>
      <w:pPr>
        <w:pStyle w:val="TextBody"/>
        <w:bidi w:val="0"/>
        <w:spacing w:lineRule="auto" w:line="288" w:before="120" w:after="283"/>
        <w:ind w:left="0" w:right="0" w:firstLine="270"/>
        <w:jc w:val="both"/>
        <w:rPr/>
      </w:pPr>
      <w:r>
        <w:rPr>
          <w:rFonts w:ascii="sans-serif" w:hAnsi="sans-serif"/>
          <w:b w:val="false"/>
          <w:color w:val="000000"/>
          <w:sz w:val="20"/>
        </w:rPr>
        <w:t>The 2025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2025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2025 CLOC includes provisions for an equity cure which could potentially allow us to independently cure certain defaults. Proceeds under the 2025 CLOC may be used for working capital needs or for other general corporate pu</w:t>
      </w:r>
      <w:r>
        <w:rPr>
          <w:rFonts w:ascii="sans-serif" w:hAnsi="sans-serif"/>
          <w:b w:val="false"/>
          <w:color w:val="000000"/>
          <w:sz w:val="20"/>
          <w:shd w:fill="FFFFFF" w:val="clear"/>
        </w:rPr>
        <w:t xml:space="preserve">rposes. We were in compliance with these requirements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37845"/>
                <wp:effectExtent l="0" t="0" r="0" b="0"/>
                <wp:wrapNone/>
                <wp:docPr id="14" name="Frame1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70"/>
        <w:jc w:val="both"/>
        <w:rPr/>
      </w:pPr>
      <w:r>
        <w:rPr>
          <w:rFonts w:ascii="sans-serif" w:hAnsi="sans-serif"/>
          <w:b w:val="false"/>
          <w:color w:val="000000"/>
          <w:sz w:val="20"/>
          <w:shd w:fill="FFFFFF" w:val="clear"/>
        </w:rPr>
        <w:t>We had an outstanding balance of $</w:t>
      </w:r>
      <w:r>
        <w:rPr>
          <w:rFonts w:ascii="sans-serif" w:hAnsi="sans-serif"/>
          <w:b w:val="false"/>
          <w:color w:val="000000"/>
          <w:sz w:val="20"/>
        </w:rPr>
        <w:t>945.0 million</w:t>
      </w:r>
      <w:r>
        <w:rPr>
          <w:color w:val="000000"/>
          <w:shd w:fill="FFFFFF" w:val="clear"/>
        </w:rPr>
        <w:t xml:space="preserve"> </w:t>
      </w:r>
      <w:r>
        <w:rPr>
          <w:rFonts w:ascii="sans-serif" w:hAnsi="sans-serif"/>
          <w:b w:val="false"/>
          <w:color w:val="000000"/>
          <w:sz w:val="20"/>
          <w:shd w:fill="FFFFFF" w:val="clear"/>
        </w:rPr>
        <w:t xml:space="preserve">under our 2025 CLOC and amounts available to borrow were not limited by the debt-to-EBITDA covenant as of </w:t>
      </w:r>
      <w:r>
        <w:rPr>
          <w:rFonts w:ascii="sans-serif" w:hAnsi="sans-serif"/>
          <w:b w:val="false"/>
          <w:color w:val="000000"/>
          <w:sz w:val="20"/>
        </w:rPr>
        <w:t>December 31, 2025</w:t>
      </w:r>
      <w:r>
        <w:rPr>
          <w:rFonts w:ascii="sans-serif" w:hAnsi="sans-serif"/>
          <w:b w:val="false"/>
          <w:color w:val="000000"/>
          <w:sz w:val="20"/>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14AA40"/>
          <w:sz w:val="28"/>
        </w:rPr>
      </w:pPr>
      <w:r>
        <w:rPr>
          <w:rFonts w:ascii="sans-serif" w:hAnsi="sans-serif"/>
          <w:b/>
          <w:color w:val="14AA40"/>
          <w:sz w:val="28"/>
        </w:rPr>
        <w:t>NOTE 7: INCOME TAXES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file a consolidated federal income tax return in the U.S. with the Internal Revenue Service (IRS) and file tax returns in various state, local, and foreign jurisdictions.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On July 4, 2025, H.R. 1 was signed into law. The legislation did not have a material impact on our tax benefit for the six months ended December 31, 2025, and we do not expect it to materially change our effective income tax rate for the fiscal year ending June 30, 2026.</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effective tax rate for continuing operations, including the effects of discrete tax items, was 24.0% for both the six months ended December 31, 2025 and 2024.</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Consistent with prior years, our pretax loss for the six months ended December 31, 2025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six months ended December 31, 2025 reflects management’s estimate of the annual effective tax rate applied to year-to-date loss from continuing operations adjusted for the tax impact of discrete items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8: COMMITMENTS AND CONTINGENCIES </w:t>
      </w:r>
    </w:p>
    <w:p>
      <w:pPr>
        <w:pStyle w:val="TextBody"/>
        <w:bidi w:val="0"/>
        <w:spacing w:lineRule="auto" w:line="288" w:before="120" w:after="283"/>
        <w:jc w:val="both"/>
        <w:rPr/>
      </w:pPr>
      <w:r>
        <w:rPr>
          <w:rFonts w:ascii="sans-serif" w:hAnsi="sans-serif"/>
          <w:b w:val="false"/>
          <w:color w:val="000000"/>
          <w:sz w:val="20"/>
        </w:rPr>
        <w:t>Our U.S. and Canadian businesses offer our 100% accuracy guarantee. Assisted tax returns</w:t>
      </w:r>
      <w:r>
        <w:rPr>
          <w:color w:val="000000"/>
        </w:rPr>
        <w:t xml:space="preserve"> </w:t>
      </w:r>
      <w:r>
        <w:rPr>
          <w:rFonts w:ascii="sans-serif" w:hAnsi="sans-serif"/>
          <w:b w:val="false"/>
          <w:color w:val="000000"/>
          <w:sz w:val="20"/>
        </w:rPr>
        <w:t xml:space="preserve">are covered by our 100% accuracy guarantee, whereby we will reimburse a client for penalties and interest attributable to an H&amp;R Block error on a return. Similarly, DIY tax returns are covered by our 100% accuracy guarantee, whereby we will reimburse a client (up to a maximum of $10,000 in the U.S.) if our software makes an arithmetic error that results in payment of penalties and/or interest to the respective taxing authority that a client would otherwise not have been required to pay. Our liability related to estimated losses under the 100% accuracy guarantee was $10.9 million and $11.4 million as of December 31, 2025 and June 30, 2025, respectively. The short-term and long-term portions of this liability are included in deferred revenue and other liabilities in the consolidated balance sheets.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$36.9 million and $29.6 million as of December 31, 2025 and June 30, 2025 respectively, with amounts recorded in deferred revenue and other liabilities. Should actual results differ from our estimates, future payments made will differ from the above estimate and any differences will be recorded in results from continuing operations.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contractual commitments to fund certain franchises with approved short-term lines of credit for the purpose of meeting their seasonal working capital needs. Our total obligation under these lines of credit was $21.9 million at December 31, 2025, and net of amounts drawn and outstanding, our remaining commitment to fund totaled $5.9 million.</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Emerald Advance® term loans are originated by Pathward® N.A. (Pathward). We purchase participation interests, at par, in all EAs originated by Pathward in accordance with our participation agreement. Our participation interest varies by jurisdiction. At December 31, 2025, the principal balance of purchased participation interests for the current year totaled $281.1 million, which represents 87% of total EA volume originated by Pathward.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 xml:space="preserve">NOTE 9: LITIGATION AND OTHER RELATED CONTINGENCIES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December 31, 2025.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$10.0 million and $6.2 million as of December 31, 2025 and June 30, 2025, respectively.</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December 31, 2025,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believe we have meritorious defenses to the claims asserted in the various matters described in this note, and we intend to defend them vigorously. The amounts claimed in the matters are substantial, however, and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37845"/>
                <wp:effectExtent l="0" t="0" r="0" b="0"/>
                <wp:wrapNone/>
                <wp:docPr id="16" name="Frame1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 </w:t>
      </w:r>
    </w:p>
    <w:p>
      <w:pPr>
        <w:pStyle w:val="TextBody"/>
        <w:bidi w:val="0"/>
        <w:spacing w:lineRule="auto" w:line="288" w:before="120" w:after="120"/>
        <w:ind w:left="0" w:right="0" w:firstLine="270"/>
        <w:jc w:val="both"/>
        <w:rPr>
          <w:rFonts w:ascii="sans-serif" w:hAnsi="sans-serif"/>
          <w:b w:val="false"/>
          <w:color w:val="000000"/>
          <w:sz w:val="20"/>
        </w:rPr>
      </w:pPr>
      <w:r>
        <w:rPr>
          <w:rFonts w:ascii="sans-serif" w:hAns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14AA40"/>
          <w:sz w:val="28"/>
        </w:rPr>
      </w:pPr>
      <w:r>
        <w:rPr>
          <w:rFonts w:ascii="sans-serif" w:hAnsi="sans-serif"/>
          <w:b/>
          <w:color w:val="14AA40"/>
          <w:sz w:val="28"/>
        </w:rPr>
        <w:t>NOTE 10: SEGMENT INFORMATION</w:t>
      </w:r>
    </w:p>
    <w:p>
      <w:pPr>
        <w:pStyle w:val="TextBody"/>
        <w:bidi w:val="0"/>
        <w:spacing w:lineRule="auto" w:line="276" w:before="120" w:after="120"/>
        <w:ind w:left="0" w:right="0" w:firstLine="270"/>
        <w:jc w:val="both"/>
        <w:rPr>
          <w:rFonts w:ascii="sans-serif" w:hAnsi="sans-serif"/>
          <w:b w:val="false"/>
          <w:color w:val="000000"/>
          <w:sz w:val="20"/>
        </w:rPr>
      </w:pPr>
      <w:r>
        <w:rPr>
          <w:rFonts w:ascii="sans-serif" w:hAnsi="sans-serif"/>
          <w:b w:val="false"/>
          <w:color w:val="000000"/>
          <w:sz w:val="20"/>
        </w:rPr>
        <w:t xml:space="preserve">We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Tax returns are prepared by H&amp;R Block tax professionals in one of our company-owned or franchise offices, virtually or via an online review, or they are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 The majority of our revenues are from our U.S. tax services business.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 xml:space="preserve">The Company's Chief Operating Decision Maker (CODM) is our chief executive officer, who regularly reviews consolidated financial information to evaluate financial performance and allocate resources. Specifically, the CODM uses revenues, operating expenses, net income and EBITDA at a consolidated level, as key financial metrics in deciding how to reinvest to grow the business. These financial metrics are used by the CODM to make operating decisions and identify growth opportunities. The measure of segment assets is total consolidated assets as presented on the consolidated balance sheet. </w:t>
      </w:r>
    </w:p>
    <w:p>
      <w:pPr>
        <w:pStyle w:val="TextBody"/>
        <w:bidi w:val="0"/>
        <w:spacing w:lineRule="auto" w:line="288" w:before="120" w:after="283"/>
        <w:ind w:left="0" w:right="0" w:firstLine="225"/>
        <w:jc w:val="both"/>
        <w:rPr>
          <w:rFonts w:ascii="sans-serif" w:hAnsi="sans-serif"/>
          <w:b w:val="false"/>
          <w:color w:val="000000"/>
          <w:sz w:val="20"/>
        </w:rPr>
      </w:pPr>
      <w:r>
        <w:rPr>
          <w:rFonts w:ascii="sans-serif" w:hAnsi="sans-serif"/>
          <w:b w:val="false"/>
          <w:color w:val="000000"/>
          <w:sz w:val="20"/>
        </w:rPr>
        <w:t>The following table presents the significant revenue and expense categories included in the segment's net income from continuing operations as regularly provided to the CODM on a consolidated basis and then reconciled to net income for the three and six months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7"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30"/>
        <w:gridCol w:w="1046"/>
        <w:gridCol w:w="1047"/>
        <w:gridCol w:w="109"/>
        <w:gridCol w:w="109"/>
        <w:gridCol w:w="109"/>
        <w:gridCol w:w="236"/>
        <w:gridCol w:w="1062"/>
        <w:gridCol w:w="113"/>
        <w:gridCol w:w="113"/>
        <w:gridCol w:w="113"/>
        <w:gridCol w:w="113"/>
        <w:gridCol w:w="236"/>
        <w:gridCol w:w="1046"/>
        <w:gridCol w:w="113"/>
        <w:gridCol w:w="109"/>
        <w:gridCol w:w="109"/>
        <w:gridCol w:w="109"/>
        <w:gridCol w:w="227"/>
        <w:gridCol w:w="1021"/>
        <w:gridCol w:w="109"/>
        <w:gridCol w:w="109"/>
        <w:gridCol w:w="109"/>
        <w:gridCol w:w="109"/>
        <w:gridCol w:w="227"/>
        <w:gridCol w:w="1006"/>
        <w:gridCol w:w="166"/>
      </w:tblGrid>
      <w:tr>
        <w:trPr/>
        <w:tc>
          <w:tcPr>
            <w:tcW w:w="123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55,919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5,108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16,231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4,244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9,124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34,718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29,785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12,845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198,865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179,070 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372,880 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94,177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81,565 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73,005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152,284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39,989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207,171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392,827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382,881 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109,592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212,388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206,317 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14,995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21,816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114,169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196,830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497,744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472,361 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908,326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894,502 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(23,378)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(319,223)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(312,299)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(544,560)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Segment 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225"/>
        <w:jc w:val="both"/>
        <w:rPr/>
      </w:pPr>
      <w:r>
        <w:rPr/>
      </w:r>
    </w:p>
    <w:p>
      <w:pPr>
        <w:pStyle w:val="TextBody"/>
        <w:bidi w:val="0"/>
        <w:spacing w:before="120" w:after="283"/>
        <w:ind w:left="0" w:right="0" w:firstLine="225"/>
        <w:jc w:val="both"/>
        <w:rPr/>
      </w:pPr>
      <w:r>
        <w:rPr/>
      </w:r>
    </w:p>
    <w:p>
      <w:pPr>
        <w:pStyle w:val="TextBody"/>
        <w:bidi w:val="0"/>
        <w:spacing w:before="120" w:after="283"/>
        <w:ind w:left="0" w:right="0" w:firstLine="225"/>
        <w:jc w:val="both"/>
        <w:rPr/>
      </w:pPr>
      <w:r>
        <w:rPr/>
      </w:r>
    </w:p>
    <w:p>
      <w:pPr>
        <w:pStyle w:val="TextBody"/>
        <w:bidi w:val="0"/>
        <w:spacing w:before="120" w:after="283"/>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37845"/>
                <wp:effectExtent l="0" t="0" r="0" b="0"/>
                <wp:wrapNone/>
                <wp:docPr id="18" name="Frame1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both"/>
        <w:rPr>
          <w:rFonts w:ascii="sans-serif" w:hAnsi="sans-serif"/>
          <w:b/>
          <w:color w:val="14AA40"/>
          <w:sz w:val="28"/>
        </w:rPr>
      </w:pPr>
      <w:r>
        <w:rPr>
          <w:rFonts w:ascii="sans-serif" w:hAnsi="sans-serif"/>
          <w:b/>
          <w:color w:val="14AA40"/>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RECENT DEVELOPMENTS</w:t>
      </w:r>
    </w:p>
    <w:p>
      <w:pPr>
        <w:pStyle w:val="TextBody"/>
        <w:bidi w:val="0"/>
        <w:spacing w:lineRule="auto" w:line="276" w:before="120" w:after="120"/>
        <w:ind w:left="0" w:right="0" w:firstLine="270"/>
        <w:jc w:val="both"/>
        <w:rPr>
          <w:rFonts w:ascii="sans-serif" w:hAnsi="sans-serif"/>
          <w:b w:val="false"/>
          <w:color w:val="000000"/>
          <w:sz w:val="20"/>
        </w:rPr>
      </w:pPr>
      <w:r>
        <w:rPr>
          <w:rFonts w:ascii="sans-serif" w:hAnsi="sans-serif"/>
          <w:b w:val="false"/>
          <w:color w:val="000000"/>
          <w:sz w:val="20"/>
        </w:rPr>
        <w:t>On July 11, 2025, we entered into a Fifth Amended and Restated Credit and Guarantee 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the Fourth Amended and Restated Credit and Guarantee Agreement. See our Current Report on Form 8-K filed on July 15, 2025 for additional information.</w:t>
      </w:r>
    </w:p>
    <w:p>
      <w:pPr>
        <w:pStyle w:val="TextBody"/>
        <w:bidi w:val="0"/>
        <w:spacing w:lineRule="auto" w:line="276" w:before="120" w:after="120"/>
        <w:ind w:left="0" w:right="0" w:firstLine="180"/>
        <w:jc w:val="both"/>
        <w:rPr>
          <w:rFonts w:ascii="sans-serif" w:hAnsi="sans-serif"/>
          <w:b w:val="false"/>
          <w:color w:val="000000"/>
          <w:sz w:val="20"/>
        </w:rPr>
      </w:pPr>
      <w:r>
        <w:rPr>
          <w:rFonts w:ascii="sans-serif" w:hAnsi="sans-serif"/>
          <w:b w:val="false"/>
          <w:color w:val="000000"/>
          <w:sz w:val="20"/>
        </w:rPr>
        <w:t>On August 7, 2025, Jeffrey J. Jones II notified the Board of Directors of the Company of his intention to retire as President and Chief Executive Officer of the Company, effective as of December 31, 2025. Mr. Jones retired from the Board of Directors, effective on December 31, 2025. On August 8, 2025, the Board appointed Curtis A. Campbell, the Company's President, Global Consumer Tax and Chief Product Officer, to succeed Mr. Jones as President and Chief Executive Officer, effective immediately upon Mr. Jones’ retirement. See our Current Report on Form 8-K filed on August 11, 2025 for more information.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13, 2025, Kellie J. Logerwell notified H&amp;R Block, Inc. (the “Company”) of her intention to retire as the Company’s Vice President and Chief Accounting Officer, effective as of October 24, 2025. Ms. Logerwell was succeeded as principal accounting officer by April M. Wasleski, who most-recently served as the Company’s Director of Accounting and whose appointment as Vice President and Chief Accounting Officer became effective October 24, 2025. See our Current Report on Form 8-K filed on August 15, 2025 for more information.</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were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pStyle w:val="TextBody"/>
        <w:bidi w:val="0"/>
        <w:spacing w:before="120" w:after="283"/>
        <w:ind w:left="0" w:right="0" w:firstLine="270"/>
        <w:jc w:val="both"/>
        <w:rPr/>
      </w:pPr>
      <w:r>
        <w:rPr/>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120" w:after="283"/>
        <w:jc w:val="both"/>
        <w:rPr/>
      </w:pPr>
      <w:r>
        <w:rPr>
          <w:rFonts w:ascii="sans-serif" w:hAnsi="sans-serif"/>
          <w:b w:val="false"/>
          <w:color w:val="000000"/>
          <w:sz w:val="20"/>
        </w:rPr>
        <w:t xml:space="preserve">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prepared by H&amp;R Block tax professionals in one of our company-owned or franchise offices, virtually or via an online review, or they are prepared and filed by our clients through our DIY tax solutions. We also offer small business solutions through our company-owned and franchise offices (including in-person, online and virtual) and online through Wave. </w:t>
      </w:r>
      <w:r>
        <w:rPr>
          <w:rFonts w:ascii="sans-serif" w:hAnsi="sans-serif"/>
          <w:b w:val="false"/>
          <w:color w:val="000000"/>
          <w:sz w:val="20"/>
          <w:shd w:fill="FFFFFF" w:val="clear"/>
        </w:rPr>
        <w:t>We report a</w:t>
      </w:r>
      <w:r>
        <w:rPr>
          <w:color w:val="000000"/>
        </w:rPr>
        <w:t xml:space="preserve"> </w:t>
      </w:r>
      <w:r>
        <w:rPr>
          <w:rFonts w:ascii="sans-serif" w:hAnsi="sans-serif"/>
          <w:b w:val="false"/>
          <w:color w:val="000000"/>
          <w:sz w:val="20"/>
        </w:rPr>
        <w:t>single segment that includes all of our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47"/>
        <w:gridCol w:w="1186"/>
        <w:gridCol w:w="1188"/>
        <w:gridCol w:w="109"/>
        <w:gridCol w:w="109"/>
        <w:gridCol w:w="109"/>
        <w:gridCol w:w="226"/>
        <w:gridCol w:w="1033"/>
        <w:gridCol w:w="109"/>
        <w:gridCol w:w="109"/>
        <w:gridCol w:w="109"/>
        <w:gridCol w:w="109"/>
        <w:gridCol w:w="226"/>
        <w:gridCol w:w="1018"/>
        <w:gridCol w:w="109"/>
        <w:gridCol w:w="109"/>
        <w:gridCol w:w="109"/>
        <w:gridCol w:w="109"/>
        <w:gridCol w:w="226"/>
        <w:gridCol w:w="826"/>
        <w:gridCol w:w="109"/>
        <w:gridCol w:w="109"/>
        <w:gridCol w:w="109"/>
        <w:gridCol w:w="109"/>
        <w:gridCol w:w="328"/>
        <w:gridCol w:w="329"/>
        <w:gridCol w:w="637"/>
      </w:tblGrid>
      <w:tr>
        <w:trPr/>
        <w:tc>
          <w:tcPr>
            <w:tcW w:w="1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207,171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497,744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(319,223)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diluted EPS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(265,844)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7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color w:val="000000"/>
        </w:rPr>
        <w:t>    </w:t>
      </w:r>
      <w:r>
        <w:rPr>
          <w:rFonts w:ascii="sans-serif" w:hAnsi="sans-serif"/>
          <w:b w:val="false"/>
          <w:color w:val="000000"/>
          <w:sz w:val="16"/>
        </w:rPr>
        <w:t>All non-GAAP measures are results from continuing operations. See "</w:t>
      </w:r>
      <w:hyperlink w:anchor="i60478dfa7e7e49c39838dcbe20a54579_85">
        <w:r>
          <w:rPr>
            <w:rStyle w:val="InternetLink"/>
            <w:rFonts w:ascii="sans-serif" w:hAnsi="sans-serif"/>
            <w:b w:val="false"/>
            <w:color w:val="0000FF"/>
            <w:sz w:val="16"/>
            <w:u w:val="single"/>
          </w:rPr>
          <w:t>Non-GAAP Financial Information</w:t>
        </w:r>
      </w:hyperlink>
      <w:r>
        <w:rPr>
          <w:rFonts w:ascii="sans-serif" w:hAnsi="sans-serif"/>
          <w:b w:val="false"/>
          <w:color w:val="000000"/>
          <w:sz w:val="16"/>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37845"/>
                <wp:effectExtent l="0" t="0" r="0" b="0"/>
                <wp:wrapNone/>
                <wp:docPr id="20" name="Frame2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Three months ended December 31, 2025 compared to December 31, 2024</w:t>
      </w:r>
    </w:p>
    <w:p>
      <w:pPr>
        <w:pStyle w:val="TextBody"/>
        <w:bidi w:val="0"/>
        <w:spacing w:lineRule="auto" w:line="288" w:before="120" w:after="283"/>
        <w:jc w:val="both"/>
        <w:rPr/>
      </w:pPr>
      <w:r>
        <w:rPr>
          <w:rFonts w:ascii="sans-serif" w:hAnsi="sans-serif"/>
          <w:b w:val="false"/>
          <w:color w:val="000000"/>
          <w:sz w:val="20"/>
          <w:shd w:fill="FFFFFF" w:val="clear"/>
        </w:rPr>
        <w:t>Revenues increased $19.8 million, or 11.1%, from the prior ye</w:t>
      </w:r>
      <w:r>
        <w:rPr>
          <w:rFonts w:ascii="sans-serif" w:hAnsi="sans-serif"/>
          <w:b w:val="false"/>
          <w:color w:val="000000"/>
          <w:sz w:val="20"/>
        </w:rPr>
        <w:t>ar. U.S. assisted tax preparation revenues increased $7.5 million</w:t>
      </w:r>
      <w:r>
        <w:rPr>
          <w:rFonts w:ascii="sans-serif" w:hAnsi="sans-serif"/>
          <w:b w:val="false"/>
          <w:color w:val="000000"/>
          <w:sz w:val="20"/>
          <w:shd w:fill="FFFFFF" w:val="clear"/>
        </w:rPr>
        <w:t xml:space="preserve">, or </w:t>
      </w:r>
      <w:r>
        <w:rPr>
          <w:rFonts w:ascii="sans-serif" w:hAnsi="sans-serif"/>
          <w:b w:val="false"/>
          <w:color w:val="000000"/>
          <w:sz w:val="20"/>
        </w:rPr>
        <w:t xml:space="preserve">15.6%, primarily due to an increase in company-owned tax return volumes and net average charge in the current year.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U.S. DIY tax preparation revenues increased $3.1 million, or 22.3%, primarily due to higher software downloads.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Wave revenues increased $3.2 million, or 12.1%, due to higher accounting, invoicing, and receipts subscriptions and small business payment processing volumes.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Total operating expenses increased $25.4 million, or 5.4%, from the prior year. Compensation and benefits increased $8.5 million, or 4.3%, primarily due to higher tax professional wages as a result of higher assisted revenue and higher corporate wages primarily due to salary increases. Certain wage</w:t>
        <w:noBreakHyphen/>
        <w:t xml:space="preserve">related expenses are now being reported in field wages rather than other wages to better align with how costs are managed and evaluated internally. This change had no impact on total operating expenses, and prior period amounts have not been reclassified.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increased $9.0 million, or 8.5%. The components of other expenses are as follows:</w:t>
      </w:r>
    </w:p>
    <w:tbl>
      <w:tblPr>
        <w:tblW w:w="9685" w:type="dxa"/>
        <w:jc w:val="center"/>
        <w:tblInd w:w="0" w:type="dxa"/>
        <w:tblLayout w:type="fixed"/>
        <w:tblCellMar>
          <w:top w:w="28" w:type="dxa"/>
          <w:left w:w="28" w:type="dxa"/>
          <w:bottom w:w="28" w:type="dxa"/>
          <w:right w:w="28" w:type="dxa"/>
        </w:tblCellMar>
      </w:tblPr>
      <w:tblGrid>
        <w:gridCol w:w="1218"/>
        <w:gridCol w:w="1068"/>
        <w:gridCol w:w="1074"/>
        <w:gridCol w:w="109"/>
        <w:gridCol w:w="109"/>
        <w:gridCol w:w="109"/>
        <w:gridCol w:w="226"/>
        <w:gridCol w:w="961"/>
        <w:gridCol w:w="109"/>
        <w:gridCol w:w="109"/>
        <w:gridCol w:w="109"/>
        <w:gridCol w:w="109"/>
        <w:gridCol w:w="226"/>
        <w:gridCol w:w="946"/>
        <w:gridCol w:w="109"/>
        <w:gridCol w:w="109"/>
        <w:gridCol w:w="109"/>
        <w:gridCol w:w="109"/>
        <w:gridCol w:w="226"/>
        <w:gridCol w:w="796"/>
        <w:gridCol w:w="109"/>
        <w:gridCol w:w="109"/>
        <w:gridCol w:w="109"/>
        <w:gridCol w:w="109"/>
        <w:gridCol w:w="337"/>
        <w:gridCol w:w="338"/>
        <w:gridCol w:w="63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Consulting and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4,558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4,389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114,169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Consulting and outsourced services expense increased $5.9 million, or 32.0%, due to increased spend on various strategic projects.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recorded an income tax benefit of $77.7 million in the current year compared to $69.8 million in the prior year. The effective tax rate for the three months ended December 31, 2025, and 2024 was 24.3% and 22.4%,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21"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47"/>
        <w:gridCol w:w="1186"/>
        <w:gridCol w:w="1189"/>
        <w:gridCol w:w="109"/>
        <w:gridCol w:w="109"/>
        <w:gridCol w:w="109"/>
        <w:gridCol w:w="226"/>
        <w:gridCol w:w="1033"/>
        <w:gridCol w:w="109"/>
        <w:gridCol w:w="109"/>
        <w:gridCol w:w="109"/>
        <w:gridCol w:w="109"/>
        <w:gridCol w:w="226"/>
        <w:gridCol w:w="1018"/>
        <w:gridCol w:w="109"/>
        <w:gridCol w:w="109"/>
        <w:gridCol w:w="109"/>
        <w:gridCol w:w="109"/>
        <w:gridCol w:w="226"/>
        <w:gridCol w:w="826"/>
        <w:gridCol w:w="109"/>
        <w:gridCol w:w="109"/>
        <w:gridCol w:w="109"/>
        <w:gridCol w:w="109"/>
        <w:gridCol w:w="328"/>
        <w:gridCol w:w="329"/>
        <w:gridCol w:w="636"/>
      </w:tblGrid>
      <w:tr>
        <w:trPr/>
        <w:tc>
          <w:tcPr>
            <w:tcW w:w="1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211,980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402,416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152,284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392,827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212,388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196,830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908,326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(535,554)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Adjusted diluted EPS</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(435,851)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72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 xml:space="preserve">(1) </w:t>
      </w:r>
      <w:r>
        <w:rPr>
          <w:rFonts w:ascii="sans-serif" w:hAnsi="sans-serif"/>
          <w:b w:val="false"/>
          <w:color w:val="000000"/>
          <w:sz w:val="16"/>
        </w:rPr>
        <w:t>All non-GAAP measures are results from continuing operations. See "</w:t>
      </w:r>
      <w:hyperlink w:anchor="i60478dfa7e7e49c39838dcbe20a54579_85">
        <w:r>
          <w:rPr>
            <w:rStyle w:val="InternetLink"/>
            <w:rFonts w:ascii="sans-serif" w:hAnsi="sans-serif"/>
            <w:b w:val="false"/>
            <w:color w:val="0000FF"/>
            <w:sz w:val="16"/>
            <w:u w:val="single"/>
          </w:rPr>
          <w:t>Non-GAAP Financial Information</w:t>
        </w:r>
      </w:hyperlink>
      <w:r>
        <w:rPr>
          <w:rFonts w:ascii="sans-serif" w:hAnsi="sans-serif"/>
          <w:b w:val="false"/>
          <w:color w:val="000000"/>
          <w:sz w:val="16"/>
        </w:rPr>
        <w:t>" at the end of this item for a reconciliation of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37845"/>
                <wp:effectExtent l="0" t="0" r="0" b="0"/>
                <wp:wrapNone/>
                <wp:docPr id="22" name="Frame2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20</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Six months ended December 31, 2025 compared to December 31, 2024</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Revenues increased $29.5 million, or 7.9%, from the prior year. U.S. assisted tax preparation revenues increased $13.2 million, or 14.5%, primarily due to an increase in net average charge combined with an increase in company-owned tax return volumes in the current year.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U.S. DIY tax preparation revenues increased $3.6 million, or 21.0%, primarily due to higher software downloads and higher paid online volume.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Wave revenues increased $6.7 million, or 12.6%, due to higher accounting, invoicing, and receipts subscriptions and small business payment processing volumes.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Total operating expenses increased $13.8 million, or 1.5%, from the prior year period. Compensation and benefits increased $9.9 million, or 2.6%, primarily due to higher tax professional wages as a result of higher assisted revenue and higher corporate wages primarily due to salary increases. Certain wage</w:t>
        <w:noBreakHyphen/>
        <w:t xml:space="preserve">related expenses are now being reported in field wages rather than other wages to better align with how costs are managed and evaluated internally. This change had no impact on total operating expenses, and prior period amounts have not been reclassified. Occupancy expense increased $6.1 million, or 2.9%, primarily due to higher lease expenses.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operating expenses decreased $3.5 million, or 1.7%. The components of other expenses are as follows:</w:t>
      </w:r>
    </w:p>
    <w:tbl>
      <w:tblPr>
        <w:tblW w:w="9670" w:type="dxa"/>
        <w:jc w:val="center"/>
        <w:tblInd w:w="0" w:type="dxa"/>
        <w:tblLayout w:type="fixed"/>
        <w:tblCellMar>
          <w:top w:w="28" w:type="dxa"/>
          <w:left w:w="28" w:type="dxa"/>
          <w:bottom w:w="28" w:type="dxa"/>
          <w:right w:w="28" w:type="dxa"/>
        </w:tblCellMar>
      </w:tblPr>
      <w:tblGrid>
        <w:gridCol w:w="1213"/>
        <w:gridCol w:w="1063"/>
        <w:gridCol w:w="1069"/>
        <w:gridCol w:w="109"/>
        <w:gridCol w:w="109"/>
        <w:gridCol w:w="109"/>
        <w:gridCol w:w="226"/>
        <w:gridCol w:w="961"/>
        <w:gridCol w:w="109"/>
        <w:gridCol w:w="109"/>
        <w:gridCol w:w="109"/>
        <w:gridCol w:w="109"/>
        <w:gridCol w:w="226"/>
        <w:gridCol w:w="946"/>
        <w:gridCol w:w="109"/>
        <w:gridCol w:w="109"/>
        <w:gridCol w:w="109"/>
        <w:gridCol w:w="109"/>
        <w:gridCol w:w="226"/>
        <w:gridCol w:w="796"/>
        <w:gridCol w:w="109"/>
        <w:gridCol w:w="109"/>
        <w:gridCol w:w="109"/>
        <w:gridCol w:w="109"/>
        <w:gridCol w:w="337"/>
        <w:gridCol w:w="338"/>
        <w:gridCol w:w="634"/>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 Change</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Consulting and outsourced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37,490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38,924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30.8 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Legal expense decreased $6.7 million, or 30.8%, primarily due to lower outside legal counsel spend.</w:t>
      </w:r>
    </w:p>
    <w:p>
      <w:pPr>
        <w:pStyle w:val="TextBody"/>
        <w:bidi w:val="0"/>
        <w:spacing w:lineRule="auto" w:line="288" w:before="120" w:after="283"/>
        <w:ind w:left="0" w:right="0" w:firstLine="270"/>
        <w:jc w:val="both"/>
        <w:rPr/>
      </w:pPr>
      <w:r>
        <w:rPr>
          <w:rFonts w:ascii="sans-serif" w:hAnsi="sans-serif"/>
          <w:b w:val="false"/>
          <w:color w:val="000000"/>
          <w:sz w:val="20"/>
        </w:rPr>
        <w:t xml:space="preserve">We recorded income tax benefit of $128.6 million in the current year compared to $130.7 million in the prior year. The effective tax rate for both the six months ended December 31, 2025, and 2024 was 24.0%. See </w:t>
      </w:r>
      <w:hyperlink w:anchor="i60478dfa7e7e49c39838dcbe20a54579_52">
        <w:r>
          <w:rPr>
            <w:rStyle w:val="InternetLink"/>
            <w:rFonts w:ascii="sans-serif" w:hAnsi="sans-serif"/>
            <w:b w:val="false"/>
            <w:color w:val="0000FF"/>
            <w:sz w:val="20"/>
            <w:u w:val="single"/>
          </w:rPr>
          <w:t>Item 1, note 7</w:t>
        </w:r>
      </w:hyperlink>
      <w:r>
        <w:rPr>
          <w:color w:val="000000"/>
        </w:rPr>
        <w:t xml:space="preserve"> </w:t>
      </w:r>
      <w:r>
        <w:rPr>
          <w:rFonts w:ascii="sans-serif" w:hAnsi="sans-serif"/>
          <w:b w:val="false"/>
          <w:color w:val="000000"/>
          <w:sz w:val="20"/>
        </w:rPr>
        <w:t>to the consolidated financial statements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FINANCIAL CONDITION</w:t>
      </w:r>
    </w:p>
    <w:p>
      <w:pPr>
        <w:pStyle w:val="TextBody"/>
        <w:bidi w:val="0"/>
        <w:spacing w:lineRule="auto" w:line="288" w:before="120" w:after="283"/>
        <w:jc w:val="both"/>
        <w:rPr/>
      </w:pPr>
      <w:r>
        <w:rPr>
          <w:rFonts w:ascii="sans-serif" w:hAnsi="sans-serif"/>
          <w:b w:val="false"/>
          <w:color w:val="000000"/>
          <w:sz w:val="20"/>
        </w:rPr>
        <w:t xml:space="preserve">These comments should be read in conjunction with the consolidated balance sheets and consolidated statements of cash flows included in </w:t>
      </w:r>
      <w:hyperlink w:anchor="i60478dfa7e7e49c39838dcbe20a54579_25">
        <w:r>
          <w:rPr>
            <w:rStyle w:val="InternetLink"/>
            <w:rFonts w:ascii="sans-serif" w:hAnsi="sans-serif"/>
            <w:b w:val="false"/>
            <w:color w:val="0000FF"/>
            <w:sz w:val="20"/>
            <w:u w:val="single"/>
          </w:rPr>
          <w:t>Part 1, Item 1</w:t>
        </w:r>
      </w:hyperlink>
      <w:r>
        <w:rPr>
          <w:rFonts w:ascii="sans-serif" w:hAnsi="sans-serif"/>
          <w:b w:val="false"/>
          <w:color w:val="000000"/>
          <w:sz w:val="20"/>
        </w:rPr>
        <w:t>.</w:t>
      </w:r>
    </w:p>
    <w:p>
      <w:pPr>
        <w:pStyle w:val="TextBody"/>
        <w:bidi w:val="0"/>
        <w:spacing w:lineRule="auto" w:line="288" w:before="120" w:after="283"/>
        <w:jc w:val="both"/>
        <w:rPr/>
      </w:pPr>
      <w:r>
        <w:rPr>
          <w:rFonts w:ascii="sans-serif" w:hAns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sans-serif" w:hAnsi="sans-serif"/>
          <w:b/>
          <w:color w:val="000000"/>
          <w:sz w:val="20"/>
        </w:rPr>
        <w:t xml:space="preserve">OVERVIEW </w:t>
      </w:r>
      <w:r>
        <w:rPr>
          <w:color w:val="000000"/>
        </w:rPr>
        <w:t xml:space="preserve">– </w:t>
      </w:r>
      <w:r>
        <w:rPr>
          <w:rFonts w:ascii="sans-serif" w:hAnsi="sans-serif"/>
          <w:b w:val="false"/>
          <w:color w:val="000000"/>
          <w:sz w:val="20"/>
        </w:rPr>
        <w:t>Our primary sources of capital and liquidity include cash from operations (including changes in working capital), draws on our unsecured committed line of credit (CLOC), and issuances of debt. We use our sources of liquidity primarily to fund working capital, service and repay debt, pay dividends, repurchase shares of our common stock, and acquire businesses.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3"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Given the likely availability of a number of liquidity options discussed herein, we believe that, in the absence of any unexpected developments, our existing sources of capital as of December 31, 2025 are sufficient to meet our operating, investing and financing needs.</w:t>
      </w:r>
    </w:p>
    <w:p>
      <w:pPr>
        <w:pStyle w:val="TextBody"/>
        <w:bidi w:val="0"/>
        <w:spacing w:lineRule="auto" w:line="288" w:before="120" w:after="283"/>
        <w:ind w:left="0" w:right="0" w:firstLine="270"/>
        <w:jc w:val="both"/>
        <w:rPr/>
      </w:pPr>
      <w:r>
        <w:rPr>
          <w:rFonts w:ascii="sans-serif" w:hAnsi="sans-serif"/>
          <w:b/>
          <w:color w:val="000000"/>
          <w:sz w:val="20"/>
        </w:rPr>
        <w:t xml:space="preserve">DISCUSSION OF CONSOLIDATED STATEMENTS OF CASH FLOWS </w:t>
      </w:r>
      <w:r>
        <w:rPr>
          <w:color w:val="000000"/>
        </w:rPr>
        <w:t xml:space="preserve">– </w:t>
      </w:r>
      <w:r>
        <w:rPr>
          <w:rFonts w:ascii="sans-serif" w:hAnsi="sans-serif"/>
          <w:b w:val="false"/>
          <w:color w:val="000000"/>
          <w:sz w:val="20"/>
        </w:rPr>
        <w:t xml:space="preserve">The following table summarizes our statements of cash flows for the six months ended December 31, 2025 and 2024. See </w:t>
      </w:r>
      <w:hyperlink w:anchor="i60478dfa7e7e49c39838dcbe20a54579_25">
        <w:r>
          <w:rPr>
            <w:rStyle w:val="InternetLink"/>
            <w:rFonts w:ascii="sans-serif" w:hAnsi="sans-serif"/>
            <w:b w:val="false"/>
            <w:color w:val="0000FF"/>
            <w:sz w:val="20"/>
            <w:u w:val="single"/>
          </w:rPr>
          <w:t>Item 1</w:t>
        </w:r>
      </w:hyperlink>
      <w:r>
        <w:rPr>
          <w:color w:val="000000"/>
        </w:rPr>
        <w:t xml:space="preserve"> </w:t>
      </w:r>
      <w:r>
        <w:rPr>
          <w:rFonts w:ascii="sans-serif" w:hAnsi="sans-serif"/>
          <w:b w:val="false"/>
          <w:color w:val="000000"/>
          <w:sz w:val="20"/>
        </w:rPr>
        <w:t>for the complete consolidated statements of cash flows for these periods.</w:t>
      </w:r>
    </w:p>
    <w:tbl>
      <w:tblPr>
        <w:tblW w:w="10205" w:type="dxa"/>
        <w:jc w:val="left"/>
        <w:tblInd w:w="0" w:type="dxa"/>
        <w:tblLayout w:type="fixed"/>
        <w:tblCellMar>
          <w:top w:w="28" w:type="dxa"/>
          <w:left w:w="28" w:type="dxa"/>
          <w:bottom w:w="28" w:type="dxa"/>
          <w:right w:w="28" w:type="dxa"/>
        </w:tblCellMar>
      </w:tblPr>
      <w:tblGrid>
        <w:gridCol w:w="2374"/>
        <w:gridCol w:w="2075"/>
        <w:gridCol w:w="2086"/>
        <w:gridCol w:w="109"/>
        <w:gridCol w:w="109"/>
        <w:gridCol w:w="109"/>
        <w:gridCol w:w="226"/>
        <w:gridCol w:w="1048"/>
        <w:gridCol w:w="109"/>
        <w:gridCol w:w="109"/>
        <w:gridCol w:w="109"/>
        <w:gridCol w:w="109"/>
        <w:gridCol w:w="226"/>
        <w:gridCol w:w="1033"/>
        <w:gridCol w:w="109"/>
        <w:gridCol w:w="109"/>
        <w:gridCol w:w="156"/>
      </w:tblGrid>
      <w:tr>
        <w:trPr/>
        <w:tc>
          <w:tcPr>
            <w:tcW w:w="237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(970,788)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(634,283)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sans-serif" w:hAnsi="sans-serif"/>
          <w:b/>
          <w:color w:val="000000"/>
          <w:sz w:val="20"/>
        </w:rPr>
        <w:t>Operating Activities.</w:t>
      </w:r>
      <w:r>
        <w:rPr>
          <w:color w:val="000000"/>
        </w:rPr>
        <w:t xml:space="preserve"> </w:t>
      </w:r>
      <w:r>
        <w:rPr>
          <w:rFonts w:ascii="sans-serif" w:hAnsi="sans-serif"/>
          <w:b w:val="false"/>
          <w:color w:val="000000"/>
          <w:sz w:val="20"/>
        </w:rPr>
        <w:t>Cash used in operations totaled $970.8 million for the six months ended December 31, 2025 compared to $895.6 million in the prior year period. The increase is primarily due to changes in accrued income taxes and receivables, partially offset by deferred income taxes and a lower net loss.</w:t>
      </w:r>
    </w:p>
    <w:p>
      <w:pPr>
        <w:pStyle w:val="TextBody"/>
        <w:bidi w:val="0"/>
        <w:spacing w:lineRule="auto" w:line="288" w:before="120" w:after="283"/>
        <w:ind w:left="0" w:right="0" w:firstLine="270"/>
        <w:jc w:val="both"/>
        <w:rPr/>
      </w:pPr>
      <w:r>
        <w:rPr>
          <w:rFonts w:ascii="sans-serif" w:hAnsi="sans-serif"/>
          <w:b/>
          <w:color w:val="000000"/>
          <w:sz w:val="20"/>
        </w:rPr>
        <w:t xml:space="preserve">Investing Activities. </w:t>
      </w:r>
      <w:r>
        <w:rPr>
          <w:rFonts w:ascii="sans-serif" w:hAnsi="sans-serif"/>
          <w:b w:val="false"/>
          <w:color w:val="000000"/>
          <w:sz w:val="20"/>
        </w:rPr>
        <w:t>Cash used in investing activities totaled $91.9 million for the six months ended December 31, 2025 compared to $87.5 million in the prior year period. The increase is primarily due to higher payments made for business acquisitions.</w:t>
      </w:r>
    </w:p>
    <w:p>
      <w:pPr>
        <w:pStyle w:val="TextBody"/>
        <w:bidi w:val="0"/>
        <w:spacing w:lineRule="auto" w:line="288" w:before="120" w:after="283"/>
        <w:ind w:left="0" w:right="0" w:firstLine="270"/>
        <w:jc w:val="both"/>
        <w:rPr/>
      </w:pPr>
      <w:r>
        <w:rPr>
          <w:rFonts w:ascii="sans-serif" w:hAnsi="sans-serif"/>
          <w:b/>
          <w:color w:val="000000"/>
          <w:sz w:val="20"/>
        </w:rPr>
        <w:t xml:space="preserve">Financing Activities. </w:t>
      </w:r>
      <w:r>
        <w:rPr>
          <w:rFonts w:ascii="sans-serif" w:hAnsi="sans-serif"/>
          <w:b w:val="false"/>
          <w:color w:val="000000"/>
          <w:sz w:val="20"/>
        </w:rPr>
        <w:t>Cash provided by financing activities totaled $429.5 million for the six months ended December 31, 2025 compared to $258.6 million in the prior year period. The change is primarily due to higher net proceeds from line of credit borrowings, lower share repurchases for payroll taxes on stock-based awards, partially offset by higher dividends.</w:t>
      </w:r>
    </w:p>
    <w:p>
      <w:pPr>
        <w:pStyle w:val="TextBody"/>
        <w:bidi w:val="0"/>
        <w:spacing w:lineRule="auto" w:line="288" w:before="120" w:after="283"/>
        <w:ind w:left="0" w:right="0" w:firstLine="270"/>
        <w:jc w:val="both"/>
        <w:rPr/>
      </w:pPr>
      <w:r>
        <w:rPr>
          <w:rFonts w:ascii="sans-serif" w:hAnsi="sans-serif"/>
          <w:b/>
          <w:color w:val="000000"/>
          <w:sz w:val="20"/>
        </w:rPr>
        <w:t>CASH REQUIREMENTS</w:t>
      </w:r>
      <w:r>
        <w:rPr>
          <w:color w:val="000000"/>
        </w:rPr>
        <w:t xml:space="preserve"> –</w:t>
      </w:r>
    </w:p>
    <w:p>
      <w:pPr>
        <w:pStyle w:val="TextBody"/>
        <w:bidi w:val="0"/>
        <w:spacing w:lineRule="auto" w:line="288" w:before="120" w:after="283"/>
        <w:ind w:left="0" w:right="0" w:firstLine="270"/>
        <w:jc w:val="both"/>
        <w:rPr/>
      </w:pPr>
      <w:r>
        <w:rPr>
          <w:rFonts w:ascii="sans-serif" w:hAnsi="sans-serif"/>
          <w:b/>
          <w:color w:val="000000"/>
          <w:sz w:val="20"/>
        </w:rPr>
        <w:t>Dividends and Share Repurchases.</w:t>
      </w:r>
      <w:r>
        <w:rPr>
          <w:color w:val="000000"/>
        </w:rPr>
        <w:t xml:space="preserve"> </w:t>
      </w:r>
      <w:r>
        <w:rPr>
          <w:rFonts w:ascii="sans-serif" w:hAnsi="sans-serif"/>
          <w:b w:val="false"/>
          <w:color w:val="000000"/>
          <w:sz w:val="20"/>
        </w:rPr>
        <w:t>Returning capital to shareholders in the form of dividends and the repurchase of outstanding shares is, and has historically been, a significant component of our capital allocation plan.</w:t>
      </w:r>
    </w:p>
    <w:p>
      <w:pPr>
        <w:pStyle w:val="TextBody"/>
        <w:bidi w:val="0"/>
        <w:spacing w:lineRule="auto" w:line="288" w:before="120" w:after="283"/>
        <w:ind w:left="0" w:right="0" w:firstLine="270"/>
        <w:jc w:val="both"/>
        <w:rPr/>
      </w:pPr>
      <w:r>
        <w:rPr>
          <w:rFonts w:ascii="sans-serif" w:hAnsi="sans-serif"/>
          <w:b w:val="false"/>
          <w:color w:val="000000"/>
          <w:sz w:val="20"/>
        </w:rPr>
        <w:t xml:space="preserve">We have consistently paid quarterly dividends. Dividends paid totaled $104.6 million and </w:t>
      </w:r>
      <w:r>
        <w:rPr>
          <w:rFonts w:ascii="sans-serif" w:hAnsi="sans-serif"/>
          <w:b w:val="false"/>
          <w:color w:val="000000"/>
          <w:sz w:val="20"/>
          <w:shd w:fill="FFFFFF" w:val="clear"/>
        </w:rPr>
        <w:t>$97.0 million</w:t>
      </w:r>
      <w:r>
        <w:rPr>
          <w:color w:val="000000"/>
        </w:rPr>
        <w:t xml:space="preserve"> </w:t>
      </w:r>
      <w:r>
        <w:rPr>
          <w:rFonts w:ascii="sans-serif" w:hAnsi="sans-serif"/>
          <w:b w:val="false"/>
          <w:color w:val="000000"/>
          <w:sz w:val="20"/>
        </w:rPr>
        <w:t>for the six months ended December 31, 2025 and 2024, respectively. Although we have historically paid dividends and plan to continue to do so, there can be no assurances that circumstances will not change in the future that could affect our ability or decisions to pay dividends.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During the six months ended December 31, 2025, we repurchased $400.1 million of our common stock at an average price of $50.90 per share, excluding excise taxes in connection with such repurchases. In the prior year period, we repurchased $400.1 million of our common stock at an average price of $61.10 per share, excluding excise taxes in connection with such repurchases. Our current share repurchase program has remaining authorization of $700.0 million and does not have an expiration date.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pStyle w:val="TextBody"/>
        <w:bidi w:val="0"/>
        <w:spacing w:lineRule="auto" w:line="288" w:before="120" w:after="283"/>
        <w:jc w:val="both"/>
        <w:rPr/>
      </w:pPr>
      <w:r>
        <w:rPr>
          <w:color w:val="000000"/>
        </w:rPr>
        <w:t>    </w:t>
      </w:r>
      <w:r>
        <w:rPr>
          <w:rFonts w:ascii="sans-serif" w:hAnsi="sans-serif"/>
          <w:b/>
          <w:color w:val="000000"/>
          <w:sz w:val="20"/>
        </w:rPr>
        <w:t xml:space="preserve">Capital Investment. </w:t>
      </w:r>
      <w:r>
        <w:rPr>
          <w:rFonts w:ascii="sans-serif" w:hAnsi="sans-serif"/>
          <w:b w:val="false"/>
          <w:color w:val="000000"/>
          <w:sz w:val="20"/>
        </w:rPr>
        <w:t xml:space="preserve">Capital expenditures totaled $48.7 million and $49.1 million for the six months ended December 31, 2025 and 2024, respectively. Our capital expenditures relate primarily to recurring improvements to retail offices, as well as investments in computers, software and related assets. In addition to our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37845"/>
                <wp:effectExtent l="0" t="0" r="0" b="0"/>
                <wp:wrapNone/>
                <wp:docPr id="24" name="Frame2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pPr>
      <w:r>
        <w:rPr>
          <w:rFonts w:ascii="sans-serif" w:hAnsi="sans-serif"/>
          <w:b w:val="false"/>
          <w:color w:val="000000"/>
          <w:sz w:val="20"/>
        </w:rPr>
        <w:t xml:space="preserve">expenditures, we also made payments to acquire businesses. We acquired franchisee and competitor businesses totaling $35.4 million and $28.0 million during the six months ended December 31, 2025 and 2024, respectively. See </w:t>
      </w:r>
      <w:hyperlink w:anchor="i60478dfa7e7e49c39838dcbe20a54579_46">
        <w:r>
          <w:rPr>
            <w:rStyle w:val="InternetLink"/>
            <w:rFonts w:ascii="sans-serif" w:hAnsi="sans-serif"/>
            <w:b w:val="false"/>
            <w:color w:val="0000FF"/>
            <w:sz w:val="20"/>
            <w:u w:val="single"/>
          </w:rPr>
          <w:t>Item 1, note 5</w:t>
        </w:r>
      </w:hyperlink>
      <w:r>
        <w:rPr>
          <w:color w:val="000000"/>
        </w:rPr>
        <w:t xml:space="preserve"> </w:t>
      </w:r>
      <w:r>
        <w:rPr>
          <w:rFonts w:ascii="sans-serif" w:hAnsi="sans-serif"/>
          <w:b w:val="false"/>
          <w:color w:val="000000"/>
          <w:sz w:val="20"/>
        </w:rPr>
        <w:t xml:space="preserve">for additional information on our acquisitions. </w:t>
      </w:r>
    </w:p>
    <w:p>
      <w:pPr>
        <w:pStyle w:val="TextBody"/>
        <w:bidi w:val="0"/>
        <w:spacing w:lineRule="auto" w:line="288" w:before="120" w:after="283"/>
        <w:ind w:left="0" w:right="0" w:firstLine="270"/>
        <w:jc w:val="both"/>
        <w:rPr/>
      </w:pPr>
      <w:r>
        <w:rPr>
          <w:rFonts w:ascii="sans-serif" w:hAnsi="sans-serif"/>
          <w:b/>
          <w:color w:val="000000"/>
          <w:sz w:val="20"/>
        </w:rPr>
        <w:t xml:space="preserve">FINANCING RESOURCES </w:t>
      </w:r>
      <w:r>
        <w:rPr>
          <w:color w:val="000000"/>
        </w:rPr>
        <w:t xml:space="preserve">– </w:t>
      </w:r>
      <w:r>
        <w:rPr>
          <w:rFonts w:ascii="sans-serif" w:hAnsi="sans-serif"/>
          <w:b w:val="false"/>
          <w:color w:val="000000"/>
          <w:sz w:val="20"/>
        </w:rPr>
        <w:t xml:space="preserve">The 2025 CLOC has capacity up to $1.5 billion and is scheduled to expire in July 2030. Proceeds under the 2025 CLOC may be used for working capital needs or for other general corporate purposes. </w:t>
      </w:r>
      <w:r>
        <w:rPr>
          <w:rFonts w:ascii="sans-serif" w:hAnsi="sans-serif"/>
          <w:b w:val="false"/>
          <w:color w:val="000000"/>
          <w:sz w:val="20"/>
          <w:shd w:fill="FFFFFF" w:val="clear"/>
        </w:rPr>
        <w:t xml:space="preserve">We had an outstanding balance of </w:t>
      </w:r>
      <w:r>
        <w:rPr>
          <w:rFonts w:ascii="sans-serif" w:hAnsi="sans-serif"/>
          <w:b w:val="false"/>
          <w:color w:val="000000"/>
          <w:sz w:val="20"/>
        </w:rPr>
        <w:t>$945.0 million</w:t>
      </w:r>
      <w:r>
        <w:rPr>
          <w:color w:val="000000"/>
          <w:shd w:fill="FFFFFF" w:val="clear"/>
        </w:rPr>
        <w:t xml:space="preserve"> </w:t>
      </w:r>
      <w:r>
        <w:rPr>
          <w:rFonts w:ascii="sans-serif" w:hAnsi="sans-serif"/>
          <w:b w:val="false"/>
          <w:color w:val="000000"/>
          <w:sz w:val="20"/>
          <w:shd w:fill="FFFFFF" w:val="clear"/>
        </w:rPr>
        <w:t xml:space="preserve">under our 2025 CLOC and amounts available to borrow were not limited by the debt-to-EBITDA covenant </w:t>
      </w:r>
      <w:r>
        <w:rPr>
          <w:rFonts w:ascii="sans-serif" w:hAnsi="sans-serif"/>
          <w:b w:val="false"/>
          <w:color w:val="000000"/>
          <w:sz w:val="20"/>
        </w:rPr>
        <w:t xml:space="preserve">as of December 31, 2025.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On August 26, 2025, we issued the 2032 Senior Notes. We redeemed our 2025 Senior Notes at 100% of the principal amount, plus accrued and unpaid interest, on September 19, 2025.</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provides ratings for debt issued by Block Financial LLC (Block Financial) as of December 31, 2025 and June 30, 2025:</w:t>
      </w:r>
    </w:p>
    <w:tbl>
      <w:tblPr>
        <w:tblW w:w="8902"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65"/>
        <w:gridCol w:w="365"/>
        <w:gridCol w:w="366"/>
        <w:gridCol w:w="137"/>
        <w:gridCol w:w="137"/>
        <w:gridCol w:w="137"/>
        <w:gridCol w:w="350"/>
        <w:gridCol w:w="350"/>
        <w:gridCol w:w="351"/>
        <w:gridCol w:w="137"/>
        <w:gridCol w:w="137"/>
        <w:gridCol w:w="137"/>
        <w:gridCol w:w="265"/>
        <w:gridCol w:w="265"/>
        <w:gridCol w:w="266"/>
        <w:gridCol w:w="109"/>
        <w:gridCol w:w="109"/>
        <w:gridCol w:w="109"/>
        <w:gridCol w:w="365"/>
        <w:gridCol w:w="365"/>
        <w:gridCol w:w="366"/>
        <w:gridCol w:w="109"/>
        <w:gridCol w:w="109"/>
        <w:gridCol w:w="109"/>
        <w:gridCol w:w="350"/>
        <w:gridCol w:w="350"/>
        <w:gridCol w:w="351"/>
        <w:gridCol w:w="109"/>
        <w:gridCol w:w="109"/>
        <w:gridCol w:w="109"/>
        <w:gridCol w:w="246"/>
        <w:gridCol w:w="246"/>
        <w:gridCol w:w="34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18"/>
              </w:rPr>
            </w:pPr>
            <w:r>
              <w:rPr>
                <w:rFonts w:ascii="sans-serif" w:hAnsi="sans-serif"/>
                <w:b w:val="false"/>
                <w:color w:val="000000"/>
                <w:sz w:val="18"/>
              </w:rPr>
              <w:t>June 30, 2025</w:t>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Outlook</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P-3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Baa3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Stable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S&amp;P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A-2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BBB</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Stable</w:t>
            </w:r>
          </w:p>
        </w:tc>
      </w:tr>
      <w:tr>
        <w:trPr/>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Other than described above, there have been no material changes in our borrowings from those reported as of June 30, 2025 in our Annual Report on Form 10-K.</w:t>
      </w:r>
    </w:p>
    <w:p>
      <w:pPr>
        <w:pStyle w:val="TextBody"/>
        <w:bidi w:val="0"/>
        <w:spacing w:lineRule="auto" w:line="288" w:before="120" w:after="283"/>
        <w:ind w:left="0" w:right="0" w:firstLine="270"/>
        <w:jc w:val="both"/>
        <w:rPr/>
      </w:pPr>
      <w:r>
        <w:rPr>
          <w:rFonts w:ascii="sans-serif" w:hAnsi="sans-serif"/>
          <w:b/>
          <w:color w:val="000000"/>
          <w:sz w:val="20"/>
        </w:rPr>
        <w:t xml:space="preserve">CASH AND OTHER ASSETS </w:t>
      </w:r>
      <w:r>
        <w:rPr>
          <w:color w:val="000000"/>
        </w:rPr>
        <w:t xml:space="preserve">– </w:t>
      </w:r>
      <w:r>
        <w:rPr>
          <w:rFonts w:ascii="sans-serif" w:hAnsi="sans-serif"/>
          <w:b w:val="false"/>
          <w:color w:val="000000"/>
          <w:sz w:val="20"/>
        </w:rPr>
        <w:t>As of December 31, 2025, we held cash and cash equivalents, excluding restricted amounts, of $349.2 million, including $199.7 million held by our foreign subsidiaries.</w:t>
      </w:r>
    </w:p>
    <w:p>
      <w:pPr>
        <w:pStyle w:val="TextBody"/>
        <w:bidi w:val="0"/>
        <w:spacing w:lineRule="auto" w:line="288" w:before="120" w:after="283"/>
        <w:ind w:left="0" w:right="0" w:firstLine="270"/>
        <w:jc w:val="both"/>
        <w:rPr/>
      </w:pPr>
      <w:r>
        <w:rPr>
          <w:rFonts w:ascii="sans-serif" w:hAnsi="sans-serif"/>
          <w:b/>
          <w:color w:val="000000"/>
          <w:sz w:val="20"/>
        </w:rPr>
        <w:t>Foreign Operations.</w:t>
      </w:r>
      <w:r>
        <w:rPr>
          <w:color w:val="000000"/>
        </w:rPr>
        <w:t xml:space="preserve"> </w:t>
      </w:r>
      <w:r>
        <w:rPr>
          <w:rFonts w:ascii="sans-serif" w:hAns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December 31, 2025. </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do not currently intend to repatriate non-borrowed funds held by our foreign subsidiaries in a manner that would trigger a tax liability.</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impact of changes in foreign exchange rates during the period on our international cash balances resulted in a decrease of $1.1 million and $9.1 million during the six months ended December 31, 2025 and 2024, respectively. </w:t>
      </w:r>
    </w:p>
    <w:p>
      <w:pPr>
        <w:pStyle w:val="TextBody"/>
        <w:bidi w:val="0"/>
        <w:spacing w:lineRule="auto" w:line="288" w:before="120" w:after="283"/>
        <w:ind w:left="0" w:right="0" w:firstLine="270"/>
        <w:jc w:val="both"/>
        <w:rPr/>
      </w:pPr>
      <w:r>
        <w:rPr>
          <w:rFonts w:ascii="sans-serif" w:hAnsi="sans-serif"/>
          <w:b/>
          <w:color w:val="000000"/>
          <w:sz w:val="20"/>
        </w:rPr>
        <w:t>CONTRACTUAL OBLIGATIONS AND COMMERCIAL COMMITMENTS</w:t>
      </w:r>
      <w:r>
        <w:rPr>
          <w:color w:val="000000"/>
        </w:rPr>
        <w:t xml:space="preserve"> – </w:t>
      </w:r>
      <w:r>
        <w:rPr>
          <w:rFonts w:ascii="sans-serif" w:hAnsi="sans-serif"/>
          <w:b w:val="false"/>
          <w:color w:val="000000"/>
          <w:sz w:val="20"/>
        </w:rPr>
        <w:t>EAs are originated by Pathward. We purchase participation interests, at par, in all EAs originated by Pathward in accordance with our participation agreement. Our participation interest varies by jurisdiction. We purchased participation interests of $281.1 million during the six months ended December 31, 2025.</w:t>
      </w:r>
    </w:p>
    <w:p>
      <w:pPr>
        <w:pStyle w:val="TextBody"/>
        <w:bidi w:val="0"/>
        <w:spacing w:lineRule="auto" w:line="288" w:before="120" w:after="283"/>
        <w:ind w:left="0" w:right="0" w:firstLine="270"/>
        <w:jc w:val="both"/>
        <w:rPr/>
      </w:pPr>
      <w:r>
        <w:rPr>
          <w:rFonts w:ascii="sans-serif" w:hAnsi="sans-serif"/>
          <w:b w:val="false"/>
          <w:color w:val="000000"/>
          <w:sz w:val="20"/>
        </w:rPr>
        <w:t xml:space="preserve">Except as described in </w:t>
      </w:r>
      <w:hyperlink w:anchor="i60478dfa7e7e49c39838dcbe20a54579_67">
        <w:r>
          <w:rPr>
            <w:rStyle w:val="InternetLink"/>
            <w:rFonts w:ascii="sans-serif" w:hAnsi="sans-serif"/>
            <w:b w:val="false"/>
            <w:color w:val="0000FF"/>
            <w:sz w:val="20"/>
            <w:u w:val="single"/>
          </w:rPr>
          <w:t>Recent Developments</w:t>
        </w:r>
      </w:hyperlink>
      <w:r>
        <w:rPr>
          <w:color w:val="000000"/>
        </w:rPr>
        <w:t xml:space="preserve"> </w:t>
      </w:r>
      <w:r>
        <w:rPr>
          <w:rFonts w:ascii="sans-serif" w:hAnsi="sans-serif"/>
          <w:b w:val="false"/>
          <w:color w:val="000000"/>
          <w:sz w:val="20"/>
        </w:rPr>
        <w:t>related to the 2025 CLOC, the 2032 Senior Notes issuance and the 2025 Senior Notes redemption, there have been no other material changes in our contractual obligations and commercial commitments from those reported in our June 30, 2025 Annual Report on Form 10-K.</w:t>
      </w:r>
    </w:p>
    <w:p>
      <w:pPr>
        <w:pStyle w:val="TextBody"/>
        <w:bidi w:val="0"/>
        <w:spacing w:lineRule="auto" w:line="288" w:before="120" w:after="283"/>
        <w:ind w:left="0" w:right="0" w:firstLine="270"/>
        <w:jc w:val="both"/>
        <w:rPr/>
      </w:pPr>
      <w:r>
        <w:rPr>
          <w:rFonts w:ascii="sans-serif" w:hAnsi="sans-serif"/>
          <w:b/>
          <w:color w:val="000000"/>
          <w:sz w:val="20"/>
        </w:rPr>
        <w:t>SUMMARIZED GUARANTOR FINANCIAL STATEMENTS</w:t>
      </w:r>
      <w:r>
        <w:rPr>
          <w:color w:val="000000"/>
        </w:rPr>
        <w:t xml:space="preserve"> – </w:t>
      </w:r>
      <w:r>
        <w:rPr>
          <w:rFonts w:ascii="sans-serif" w:hAnsi="sans-serif"/>
          <w:b w:val="false"/>
          <w:color w:val="000000"/>
          <w:sz w:val="20"/>
        </w:rPr>
        <w:t xml:space="preserve">Block Financial is a 100% owned subsidiary of H&amp;R Block, Inc. Block Financial is the Issuer and H&amp;R Block, Inc. is the full and unconditional Guarantor of our Senior Notes, CLOC and other indebtedness issued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5"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10101" w:type="dxa"/>
        <w:jc w:val="left"/>
        <w:tblInd w:w="0" w:type="dxa"/>
        <w:tblLayout w:type="fixed"/>
        <w:tblCellMar>
          <w:top w:w="28" w:type="dxa"/>
          <w:left w:w="28" w:type="dxa"/>
          <w:bottom w:w="28" w:type="dxa"/>
          <w:right w:w="28" w:type="dxa"/>
        </w:tblCellMar>
      </w:tblPr>
      <w:tblGrid>
        <w:gridCol w:w="2151"/>
        <w:gridCol w:w="1892"/>
        <w:gridCol w:w="1896"/>
        <w:gridCol w:w="109"/>
        <w:gridCol w:w="109"/>
        <w:gridCol w:w="109"/>
        <w:gridCol w:w="358"/>
        <w:gridCol w:w="1524"/>
        <w:gridCol w:w="172"/>
        <w:gridCol w:w="109"/>
        <w:gridCol w:w="109"/>
        <w:gridCol w:w="109"/>
        <w:gridCol w:w="272"/>
        <w:gridCol w:w="997"/>
        <w:gridCol w:w="185"/>
      </w:tblGrid>
      <w:tr>
        <w:trPr/>
        <w:tc>
          <w:tcPr>
            <w:tcW w:w="215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SUMMARIZED BALANCE SHEET - GUARANTOR AND ISSUER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June 30, 2025</w:t>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330,038</w:t>
            </w:r>
            <w:r>
              <w:rPr>
                <w:color w:val="000000"/>
              </w:rPr>
              <w:t>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38,254 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2,484,987</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1,836,847 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92,043</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432,139 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2,440,727</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1,148,806 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4"/>
        <w:gridCol w:w="1182"/>
        <w:gridCol w:w="1019"/>
        <w:gridCol w:w="279"/>
        <w:gridCol w:w="279"/>
        <w:gridCol w:w="279"/>
        <w:gridCol w:w="579"/>
        <w:gridCol w:w="2157"/>
        <w:gridCol w:w="279"/>
        <w:gridCol w:w="109"/>
        <w:gridCol w:w="109"/>
        <w:gridCol w:w="109"/>
        <w:gridCol w:w="422"/>
        <w:gridCol w:w="1767"/>
        <w:gridCol w:w="292"/>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SUMMARIZED STATEMENTS OF OPERATIONS - GUARANTOR AND ISSUER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Six months ended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Twelve months ended June 30, 2025</w:t>
            </w:r>
          </w:p>
        </w:tc>
      </w:tr>
      <w:tr>
        <w:trPr/>
        <w:tc>
          <w:tcPr>
            <w:tcW w:w="3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21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32,361</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126,240 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from continuing operations before income taxes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(7,472)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58,596 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(loss) from continuing operations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(5,753)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45,120 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(loss)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(6,804)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41,443 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 xml:space="preserve">The table above reflects $2.4 billion and $1.8 billion of non-current intercompany receivables due to the Issuer from non-guarantor subsidiaries as of December 31, 2025 and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REGULATORY ENVIRONMENT</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regulatory environment from what was reported in our June 30,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37845"/>
                <wp:effectExtent l="0" t="0" r="0" b="0"/>
                <wp:wrapNone/>
                <wp:docPr id="26" name="Frame2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24</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net loss to EBITDA from continuing operations, which is a non-GAAP financial measure:</w:t>
      </w:r>
    </w:p>
    <w:tbl>
      <w:tblPr>
        <w:tblW w:w="10205" w:type="dxa"/>
        <w:jc w:val="center"/>
        <w:tblInd w:w="0" w:type="dxa"/>
        <w:tblLayout w:type="fixed"/>
        <w:tblCellMar>
          <w:top w:w="28" w:type="dxa"/>
          <w:left w:w="28" w:type="dxa"/>
          <w:bottom w:w="28" w:type="dxa"/>
          <w:right w:w="28" w:type="dxa"/>
        </w:tblCellMar>
      </w:tblPr>
      <w:tblGrid>
        <w:gridCol w:w="1289"/>
        <w:gridCol w:w="997"/>
        <w:gridCol w:w="999"/>
        <w:gridCol w:w="109"/>
        <w:gridCol w:w="109"/>
        <w:gridCol w:w="109"/>
        <w:gridCol w:w="237"/>
        <w:gridCol w:w="1075"/>
        <w:gridCol w:w="114"/>
        <w:gridCol w:w="114"/>
        <w:gridCol w:w="114"/>
        <w:gridCol w:w="114"/>
        <w:gridCol w:w="237"/>
        <w:gridCol w:w="1060"/>
        <w:gridCol w:w="114"/>
        <w:gridCol w:w="109"/>
        <w:gridCol w:w="109"/>
        <w:gridCol w:w="109"/>
        <w:gridCol w:w="226"/>
        <w:gridCol w:w="1025"/>
        <w:gridCol w:w="109"/>
        <w:gridCol w:w="109"/>
        <w:gridCol w:w="109"/>
        <w:gridCol w:w="109"/>
        <w:gridCol w:w="226"/>
        <w:gridCol w:w="1010"/>
        <w:gridCol w:w="164"/>
      </w:tblGrid>
      <w:tr>
        <w:trPr/>
        <w:tc>
          <w:tcPr>
            <w:tcW w:w="128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w:t>
            </w:r>
          </w:p>
        </w:tc>
      </w:tr>
      <w:tr>
        <w:trPr/>
        <w:tc>
          <w:tcPr>
            <w:tcW w:w="3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 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23,378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(35,048)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(265,844)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(261,352)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(435,851)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(448,935)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The following is a reconciliation of our results from continuing operations to our adjusted results from continuing operations, which is a non-GAAP financial measure:</w:t>
      </w:r>
    </w:p>
    <w:tbl>
      <w:tblPr>
        <w:tblW w:w="10205" w:type="dxa"/>
        <w:jc w:val="left"/>
        <w:tblInd w:w="0" w:type="dxa"/>
        <w:tblLayout w:type="fixed"/>
        <w:tblCellMar>
          <w:top w:w="28" w:type="dxa"/>
          <w:left w:w="28" w:type="dxa"/>
          <w:bottom w:w="28" w:type="dxa"/>
          <w:right w:w="28" w:type="dxa"/>
        </w:tblCellMar>
      </w:tblPr>
      <w:tblGrid>
        <w:gridCol w:w="1300"/>
        <w:gridCol w:w="1035"/>
        <w:gridCol w:w="1038"/>
        <w:gridCol w:w="109"/>
        <w:gridCol w:w="109"/>
        <w:gridCol w:w="109"/>
        <w:gridCol w:w="234"/>
        <w:gridCol w:w="1051"/>
        <w:gridCol w:w="113"/>
        <w:gridCol w:w="113"/>
        <w:gridCol w:w="113"/>
        <w:gridCol w:w="113"/>
        <w:gridCol w:w="234"/>
        <w:gridCol w:w="1035"/>
        <w:gridCol w:w="113"/>
        <w:gridCol w:w="109"/>
        <w:gridCol w:w="109"/>
        <w:gridCol w:w="109"/>
        <w:gridCol w:w="226"/>
        <w:gridCol w:w="1013"/>
        <w:gridCol w:w="109"/>
        <w:gridCol w:w="109"/>
        <w:gridCol w:w="109"/>
        <w:gridCol w:w="109"/>
        <w:gridCol w:w="226"/>
        <w:gridCol w:w="998"/>
        <w:gridCol w:w="160"/>
      </w:tblGrid>
      <w:tr>
        <w:trPr/>
        <w:tc>
          <w:tcPr>
            <w:tcW w:w="13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sans-serif" w:hAnsi="sans-serif"/>
                <w:b w:val="false"/>
                <w:color w:val="000000"/>
                <w:sz w:val="18"/>
              </w:rPr>
            </w:pPr>
            <w:r>
              <w:rPr>
                <w:rFonts w:ascii="sans-serif" w:hAnsi="sans-serif"/>
                <w:b w:val="false"/>
                <w:color w:val="000000"/>
                <w:sz w:val="18"/>
              </w:rPr>
              <w:t>2024</w:t>
            </w:r>
          </w:p>
        </w:tc>
      </w:tr>
      <w:tr>
        <w:trPr/>
        <w:tc>
          <w:tcPr>
            <w:tcW w:w="3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 related to acquisitions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11,252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Tax effect of adjustments </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(5,184)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(232,758)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(234,095)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(389,939)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(397,033)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loss per share from continuing operations -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rFonts w:ascii="sans-serif" w:hAnsi="sans-serif"/>
          <w:b w:val="false"/>
          <w:color w:val="000000"/>
          <w:sz w:val="16"/>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FORWARD-LOOKING INFORMATION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7"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righ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disease, severe weather events, natural or manmade disasters, or changes in the regulatory environment in which we operate.</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pStyle w:val="TextBody"/>
        <w:bidi w:val="0"/>
        <w:spacing w:lineRule="auto" w:line="288" w:before="120" w:after="283"/>
        <w:ind w:left="0" w:right="0" w:firstLine="270"/>
        <w:jc w:val="both"/>
        <w:rPr>
          <w:rFonts w:ascii="sans-serif" w:hAnsi="sans-serif"/>
          <w:b w:val="false"/>
          <w:color w:val="000000"/>
          <w:sz w:val="20"/>
        </w:rPr>
      </w:pPr>
      <w:r>
        <w:rPr>
          <w:rFonts w:ascii="sans-serif" w:hAnsi="sans-serif"/>
          <w:b w:val="false"/>
          <w:color w:val="000000"/>
          <w:sz w:val="20"/>
        </w:rPr>
        <w:t>Details about risks, uncertainties and assumptions that could affect various aspects of our business are included throughout our Annual Report on Form 10-K for the fiscal year ended June 30, 2025 and are also described from time to time in other filings with the SEC. Investors should carefully consider all of these risks, and should pay particular attention to Item 1A, "Risk Factors," and Item 7 under "Critical Accounting Estimates" of our Annual Report on Form 10-K for the fiscal year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sans-serif" w:hAnsi="sans-serif"/>
          <w:b/>
          <w:color w:val="14AA40"/>
          <w:sz w:val="28"/>
        </w:rPr>
      </w:pPr>
      <w:r>
        <w:rPr>
          <w:rFonts w:ascii="sans-serif" w:hAnsi="sans-serif"/>
          <w:b/>
          <w:color w:val="14AA40"/>
          <w:sz w:val="28"/>
        </w:rPr>
        <w:t>ITEM 3.     QUANTITATIVE AND QUALITATIVE DISCLOSURES ABOUT MARKET RISK</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market risks from those reported in our June 30,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4.     CONTROLS AND PROCEDURES</w:t>
      </w:r>
    </w:p>
    <w:p>
      <w:pPr>
        <w:pStyle w:val="TextBody"/>
        <w:bidi w:val="0"/>
        <w:spacing w:lineRule="auto" w:line="288" w:before="120" w:after="283"/>
        <w:jc w:val="both"/>
        <w:rPr/>
      </w:pPr>
      <w:r>
        <w:rPr>
          <w:rFonts w:ascii="sans-serif" w:hAnsi="sans-serif"/>
          <w:b/>
          <w:color w:val="000000"/>
          <w:sz w:val="20"/>
        </w:rPr>
        <w:t>EVALUATION OF DISCLOSURE CONTROLS AND PROCEDURES</w:t>
      </w:r>
      <w:r>
        <w:rPr>
          <w:color w:val="000000"/>
        </w:rPr>
        <w:t xml:space="preserve"> – </w:t>
      </w:r>
      <w:r>
        <w:rPr>
          <w:rFonts w:ascii="sans-serif" w:hAnsi="sans-serif"/>
          <w:b w:val="false"/>
          <w:color w:val="000000"/>
          <w:sz w:val="20"/>
        </w:rPr>
        <w:t>As of the end of the period covered by this Form 10-Q, management, 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pStyle w:val="TextBody"/>
        <w:bidi w:val="0"/>
        <w:spacing w:lineRule="auto" w:line="288" w:before="120" w:after="283"/>
        <w:jc w:val="both"/>
        <w:rPr/>
      </w:pPr>
      <w:r>
        <w:rPr>
          <w:rFonts w:ascii="sans-serif" w:hAnsi="sans-serif"/>
          <w:b/>
          <w:color w:val="000000"/>
          <w:sz w:val="20"/>
        </w:rPr>
        <w:t>CHANGES IN INTERNAL CONTROL OVER FINANCIAL REPORTING</w:t>
      </w:r>
      <w:r>
        <w:rPr>
          <w:color w:val="000000"/>
        </w:rPr>
        <w:t xml:space="preserve"> – </w:t>
      </w:r>
      <w:r>
        <w:rPr>
          <w:rFonts w:ascii="sans-serif" w:hAnsi="sans-serif"/>
          <w:b w:val="false"/>
          <w:color w:val="000000"/>
          <w:sz w:val="20"/>
        </w:rPr>
        <w:t>There were no changes during the three months ended December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     LEGAL PROCEEDINGS</w:t>
      </w:r>
    </w:p>
    <w:p>
      <w:pPr>
        <w:pStyle w:val="TextBody"/>
        <w:bidi w:val="0"/>
        <w:spacing w:lineRule="auto" w:line="288" w:before="120" w:after="283"/>
        <w:jc w:val="both"/>
        <w:rPr/>
      </w:pPr>
      <w:r>
        <w:rPr>
          <w:rFonts w:ascii="sans-serif" w:hAnsi="sans-serif"/>
          <w:b w:val="false"/>
          <w:color w:val="000000"/>
          <w:sz w:val="20"/>
        </w:rPr>
        <w:t xml:space="preserve">For a description of our material pending legal proceedings, see discussion in </w:t>
      </w:r>
      <w:hyperlink w:anchor="i60478dfa7e7e49c39838dcbe20a54579_61">
        <w:r>
          <w:rPr>
            <w:rStyle w:val="InternetLink"/>
            <w:rFonts w:ascii="sans-serif" w:hAnsi="sans-serif"/>
            <w:b w:val="false"/>
            <w:color w:val="0000FF"/>
            <w:sz w:val="20"/>
            <w:u w:val="single"/>
          </w:rPr>
          <w:t>Part I, Item 1, note 9</w:t>
        </w:r>
      </w:hyperlink>
      <w:r>
        <w:rPr>
          <w:color w:val="000000"/>
        </w:rPr>
        <w:t xml:space="preserve"> </w:t>
      </w:r>
      <w:r>
        <w:rPr>
          <w:rFonts w:ascii="sans-serif" w:hAns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1A.    RISK FACTORS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There have been no material changes in our risk factors from those reported in our June 30,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37845"/>
                <wp:effectExtent l="0" t="0" r="0" b="0"/>
                <wp:wrapNone/>
                <wp:docPr id="28" name="Frame2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26</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2.    UNREGISTERED SALES OF EQUITY SECURITIES AND USE OF PROCEEDS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 summary of our purchases of H&amp;R Block common stock during the three months ended December 31, 2025 is as follows:</w:t>
      </w:r>
    </w:p>
    <w:tbl>
      <w:tblPr>
        <w:tblW w:w="10205" w:type="dxa"/>
        <w:jc w:val="left"/>
        <w:tblInd w:w="0" w:type="dxa"/>
        <w:tblLayout w:type="fixed"/>
        <w:tblCellMar>
          <w:top w:w="28" w:type="dxa"/>
          <w:left w:w="28" w:type="dxa"/>
          <w:bottom w:w="28" w:type="dxa"/>
          <w:right w:w="28" w:type="dxa"/>
        </w:tblCellMar>
      </w:tblPr>
      <w:tblGrid>
        <w:gridCol w:w="739"/>
        <w:gridCol w:w="549"/>
        <w:gridCol w:w="550"/>
        <w:gridCol w:w="109"/>
        <w:gridCol w:w="109"/>
        <w:gridCol w:w="109"/>
        <w:gridCol w:w="608"/>
        <w:gridCol w:w="608"/>
        <w:gridCol w:w="610"/>
        <w:gridCol w:w="109"/>
        <w:gridCol w:w="109"/>
        <w:gridCol w:w="109"/>
        <w:gridCol w:w="226"/>
        <w:gridCol w:w="721"/>
        <w:gridCol w:w="109"/>
        <w:gridCol w:w="109"/>
        <w:gridCol w:w="109"/>
        <w:gridCol w:w="109"/>
        <w:gridCol w:w="688"/>
        <w:gridCol w:w="688"/>
        <w:gridCol w:w="689"/>
        <w:gridCol w:w="109"/>
        <w:gridCol w:w="109"/>
        <w:gridCol w:w="109"/>
        <w:gridCol w:w="354"/>
        <w:gridCol w:w="1510"/>
        <w:gridCol w:w="248"/>
      </w:tblGrid>
      <w:tr>
        <w:trPr/>
        <w:tc>
          <w:tcPr>
            <w:tcW w:w="73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sans-serif" w:hAnsi="sans-serif"/>
                <w:b w:val="false"/>
                <w:color w:val="000000"/>
                <w:sz w:val="18"/>
              </w:rPr>
              <w:t>Total Number of</w:t>
              <w:br/>
              <w:t xml:space="preserve">Shares Purchased </w:t>
            </w:r>
            <w:r>
              <w:rPr>
                <w:rFonts w:ascii="sans-serif" w:hAnsi="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8"/>
              </w:rPr>
            </w:pPr>
            <w:r>
              <w:rPr>
                <w:rFonts w:ascii="sans-serif" w:hAnsi="sans-serif"/>
                <w:b w:val="false"/>
                <w:color w:val="000000"/>
                <w:sz w:val="18"/>
              </w:rPr>
              <w:t>Total Number of Shares</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 xml:space="preserve">Purchased as Part of </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Publicly Announced Plans </w:t>
            </w:r>
          </w:p>
          <w:p>
            <w:pPr>
              <w:pStyle w:val="TableContents"/>
              <w:bidi w:val="0"/>
              <w:spacing w:lineRule="auto" w:line="240" w:before="0" w:after="0"/>
              <w:jc w:val="right"/>
              <w:rPr/>
            </w:pPr>
            <w:r>
              <w:rPr>
                <w:rFonts w:ascii="sans-serif" w:hAnsi="sans-serif"/>
                <w:b w:val="false"/>
                <w:color w:val="000000"/>
                <w:sz w:val="18"/>
              </w:rPr>
              <w:t>or Programs</w:t>
            </w:r>
            <w:r>
              <w:rPr>
                <w:color w:val="000000"/>
              </w:rPr>
              <w:t xml:space="preserve"> </w:t>
            </w:r>
            <w:r>
              <w:rPr>
                <w:rFonts w:ascii="sans-serif" w:hAnsi="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sans-serif" w:hAnsi="sans-serif"/>
                <w:b w:val="false"/>
                <w:color w:val="000000"/>
                <w:sz w:val="18"/>
              </w:rPr>
            </w:pPr>
            <w:r>
              <w:rPr>
                <w:rFonts w:ascii="sans-serif" w:hAnsi="sans-serif"/>
                <w:b w:val="false"/>
                <w:color w:val="000000"/>
                <w:sz w:val="18"/>
              </w:rPr>
              <w:t>Maximum Dollar Value of</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 xml:space="preserve">Shares that May Yet Be </w:t>
            </w:r>
          </w:p>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Purchased Under the Plans </w:t>
            </w:r>
          </w:p>
          <w:p>
            <w:pPr>
              <w:pStyle w:val="TableContents"/>
              <w:bidi w:val="0"/>
              <w:spacing w:lineRule="auto" w:line="240" w:before="0" w:after="0"/>
              <w:jc w:val="right"/>
              <w:rPr/>
            </w:pPr>
            <w:r>
              <w:rPr>
                <w:rFonts w:ascii="sans-serif" w:hAnsi="sans-serif"/>
                <w:b w:val="false"/>
                <w:color w:val="000000"/>
                <w:sz w:val="18"/>
              </w:rPr>
              <w:t>or Programs</w:t>
            </w:r>
            <w:r>
              <w:rPr>
                <w:color w:val="000000"/>
              </w:rPr>
              <w:t xml:space="preserve"> </w:t>
            </w:r>
            <w:r>
              <w:rPr>
                <w:rFonts w:ascii="sans-serif" w:hAnsi="sans-serif"/>
                <w:b w:val="false"/>
                <w:color w:val="000000"/>
                <w:sz w:val="12"/>
              </w:rPr>
              <w:t>(2)</w:t>
            </w:r>
          </w:p>
        </w:tc>
      </w:tr>
      <w:tr>
        <w:trPr/>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October 1 -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w:t>
            </w:r>
            <w:r>
              <w:rPr>
                <w:color w:val="000000"/>
              </w:rPr>
              <w:t> </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700,000</w:t>
            </w:r>
            <w:r>
              <w:rPr>
                <w:color w:val="000000"/>
              </w:rPr>
              <w:t>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November 1 - November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w:t>
            </w: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700,000</w:t>
            </w: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December 1 -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w:t>
            </w:r>
            <w:r>
              <w:rPr>
                <w:color w:val="000000"/>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700,000</w:t>
            </w: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w:t>
            </w:r>
            <w:r>
              <w:rPr>
                <w:color w:val="000000"/>
              </w:rPr>
              <w:t>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10"/>
        </w:rPr>
        <w:t>(1)</w:t>
      </w:r>
      <w:r>
        <w:rPr>
          <w:rFonts w:ascii="sans-serif" w:hAnsi="sans-serif"/>
          <w:b w:val="false"/>
          <w:color w:val="000000"/>
          <w:sz w:val="16"/>
        </w:rPr>
        <w:t xml:space="preserve">We purchased approximately </w:t>
      </w:r>
      <w:r>
        <w:rPr>
          <w:rFonts w:ascii="sans-serif" w:hAnsi="sans-serif"/>
          <w:b w:val="false"/>
          <w:color w:val="000000"/>
          <w:sz w:val="16"/>
          <w:shd w:fill="FFFFFF" w:val="clear"/>
        </w:rPr>
        <w:t>5 thousand</w:t>
      </w:r>
      <w:r>
        <w:rPr>
          <w:color w:val="000000"/>
        </w:rPr>
        <w:t xml:space="preserve"> </w:t>
      </w:r>
      <w:r>
        <w:rPr>
          <w:rFonts w:ascii="sans-serif" w:hAnsi="sans-serif"/>
          <w:b w:val="false"/>
          <w:color w:val="000000"/>
          <w:sz w:val="16"/>
        </w:rPr>
        <w:t xml:space="preserve">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sans-serif" w:hAnsi="sans-serif"/>
          <w:b w:val="false"/>
          <w:color w:val="000000"/>
          <w:sz w:val="10"/>
        </w:rPr>
        <w:t>(2)</w:t>
      </w:r>
      <w:r>
        <w:rPr>
          <w:rFonts w:ascii="sans-serif" w:hAnsi="sans-serif"/>
          <w:b w:val="false"/>
          <w:color w:val="000000"/>
          <w:sz w:val="16"/>
        </w:rPr>
        <w:t>On August 15, 2024, we announced that our Board of Directors approved a $1.5 billion share repurchase program. The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3.    DEFAULTS UPON SENIOR SECURITIES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4.    MINE SAFETY DISCLOSURES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14AA40"/>
          <w:sz w:val="28"/>
        </w:rPr>
      </w:pPr>
      <w:r>
        <w:rPr>
          <w:rFonts w:ascii="sans-serif" w:hAnsi="sans-serif"/>
          <w:b/>
          <w:color w:val="14AA40"/>
          <w:sz w:val="28"/>
        </w:rPr>
        <w:t>ITEM 5.    OTHER INFORMATION</w:t>
      </w:r>
    </w:p>
    <w:p>
      <w:pPr>
        <w:pStyle w:val="TextBody"/>
        <w:bidi w:val="0"/>
        <w:spacing w:lineRule="auto" w:line="288" w:before="120" w:after="283"/>
        <w:jc w:val="both"/>
        <w:rPr>
          <w:rFonts w:ascii="sans-serif" w:hAnsi="sans-serif"/>
          <w:b/>
          <w:color w:val="000000"/>
          <w:sz w:val="20"/>
        </w:rPr>
      </w:pPr>
      <w:r>
        <w:rPr>
          <w:rFonts w:ascii="sans-serif" w:hAnsi="sans-serif"/>
          <w:b/>
          <w:color w:val="000000"/>
          <w:sz w:val="20"/>
        </w:rPr>
        <w:t>Director and Section 16 Officer Trading Arrangements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During the three months ended December 31, 2025, no director or Section 16 officer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4AA40"/>
          <w:sz w:val="28"/>
        </w:rPr>
      </w:pPr>
      <w:r>
        <w:rPr>
          <w:rFonts w:ascii="sans-serif" w:hAnsi="sans-serif"/>
          <w:b/>
          <w:color w:val="14AA40"/>
          <w:sz w:val="28"/>
        </w:rPr>
        <w:t>ITEM 6.    EXHIBITS</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257"/>
        <w:gridCol w:w="228"/>
        <w:gridCol w:w="231"/>
        <w:gridCol w:w="2898"/>
        <w:gridCol w:w="2730"/>
        <w:gridCol w:w="3861"/>
      </w:tblGrid>
      <w:tr>
        <w:trPr/>
        <w:tc>
          <w:tcPr>
            <w:tcW w:w="2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sans-serif" w:hAnsi="sans-serif"/>
                  <w:b w:val="false"/>
                  <w:color w:val="0000FF"/>
                  <w:sz w:val="20"/>
                  <w:u w:val="single"/>
                </w:rPr>
                <w:t>22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sans-serif" w:hAnsi="sans-serif"/>
                  <w:b w:val="false"/>
                  <w:color w:val="0000FF"/>
                  <w:sz w:val="20"/>
                  <w:u w:val="single"/>
                </w:rPr>
                <w:t>List of Guarantor and Issuer Subsidiaries, filed as Exhibit 22 to the Company’s Annual Report on Form 10-K for the year ended June 30, 2024, file number 1-06089, is incorporated herein by reference.</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hrbq2fy26exhibit311.htm">
              <w:r>
                <w:rPr>
                  <w:rStyle w:val="InternetLink"/>
                  <w:rFonts w:ascii="sans-serif" w:hAnsi="sans-serif"/>
                  <w:b w:val="false"/>
                  <w:color w:val="0000FF"/>
                  <w:sz w:val="20"/>
                  <w:u w:val="single"/>
                </w:rPr>
                <w:t>31.1</w:t>
              </w:r>
            </w:hyperlink>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2fy26exhibit311.htm">
              <w:r>
                <w:rPr>
                  <w:rStyle w:val="InternetLink"/>
                  <w:rFonts w:ascii="sans-serif" w:hAnsi="sans-serif"/>
                  <w:b w:val="false"/>
                  <w:color w:val="0000FF"/>
                  <w:sz w:val="20"/>
                  <w:u w:val="single"/>
                </w:rPr>
                <w:t>Certification by Chief Executive Officer pursuant to Section 302 of the Sarbanes-Oxley Act of 2002.</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2fy26exhibit312.htm">
              <w:r>
                <w:rPr>
                  <w:rStyle w:val="InternetLink"/>
                  <w:rFonts w:ascii="sans-serif" w:hAnsi="sans-serif"/>
                  <w:b w:val="false"/>
                  <w:color w:val="0000FF"/>
                  <w:sz w:val="20"/>
                  <w:u w:val="single"/>
                </w:rPr>
                <w:t>31.2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2fy26exhibit312.htm">
              <w:r>
                <w:rPr>
                  <w:rStyle w:val="InternetLink"/>
                  <w:rFonts w:ascii="sans-serif" w:hAnsi="sans-serif"/>
                  <w:b w:val="false"/>
                  <w:color w:val="0000FF"/>
                  <w:sz w:val="20"/>
                  <w:u w:val="single"/>
                </w:rPr>
                <w:t>Certification by Chief Financial Officer pursuant to Section 302 of the Sarbanes-Oxley Act of 2002.</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hrbq2fy26exhibit321.htm">
              <w:r>
                <w:rPr>
                  <w:rStyle w:val="InternetLink"/>
                  <w:rFonts w:ascii="sans-serif" w:hAnsi="sans-serif"/>
                  <w:b w:val="false"/>
                  <w:color w:val="0000FF"/>
                  <w:sz w:val="20"/>
                  <w:u w:val="single"/>
                </w:rPr>
                <w:t>32.1</w:t>
              </w:r>
            </w:hyperlink>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hrbq2fy26exhibit321.htm">
              <w:r>
                <w:rPr>
                  <w:rStyle w:val="InternetLink"/>
                  <w:rFonts w:ascii="sans-serif" w:hAnsi="sans-serif"/>
                  <w:b w:val="false"/>
                  <w:color w:val="0000FF"/>
                  <w:sz w:val="20"/>
                  <w:u w:val="single"/>
                </w:rPr>
                <w:t>Certification by Chief Executive Officer pursuant to 18 U.S.C. 1350, as adopted by Section 906 of the Sarbanes-Oxley Act of 2002.</w:t>
              </w:r>
            </w:hyperlink>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2fy26exhibit322.htm">
              <w:r>
                <w:rPr>
                  <w:rStyle w:val="InternetLink"/>
                  <w:rFonts w:ascii="sans-serif" w:hAnsi="sans-serif"/>
                  <w:b w:val="false"/>
                  <w:color w:val="0000FF"/>
                  <w:sz w:val="20"/>
                  <w:u w:val="single"/>
                </w:rPr>
                <w:t>32.2</w:t>
              </w:r>
            </w:hyperlink>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hrbq2fy26exhibit322.htm">
              <w:r>
                <w:rPr>
                  <w:rStyle w:val="InternetLink"/>
                  <w:rFonts w:ascii="sans-serif" w:hAnsi="sans-serif"/>
                  <w:b w:val="false"/>
                  <w:color w:val="0000FF"/>
                  <w:sz w:val="20"/>
                  <w:u w:val="single"/>
                </w:rPr>
                <w:t>Certification by Chief Financial Officer pursuant to 18 U.S.C. 1350, as adopted by Section 906 of the Sarbanes-Oxley Act of 2002.</w:t>
              </w:r>
            </w:hyperlink>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101.INS</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Inline XBRL Instance Document - the instance document does not appear in the Interactive Data File because its XBRL tags are embedded within the Inline XBRL document</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101.SCH</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Schema</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101.CAL</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Extension Calculation Linkbase</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101.LAB</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Label Linkbase</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101.PRE</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Presentation Linkbase</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101.DEF</w:t>
            </w:r>
          </w:p>
        </w:tc>
        <w:tc>
          <w:tcPr>
            <w:tcW w:w="9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sans-serif" w:hAnsi="sans-serif"/>
                <w:b w:val="false"/>
                <w:color w:val="000000"/>
                <w:sz w:val="20"/>
              </w:rPr>
            </w:pPr>
            <w:r>
              <w:rPr>
                <w:rFonts w:ascii="sans-serif" w:hAnsi="sans-serif"/>
                <w:b w:val="false"/>
                <w:color w:val="000000"/>
                <w:sz w:val="20"/>
              </w:rPr>
              <w:t>Inline XBRL Taxonomy Extension Definition Linkbase</w:t>
            </w:r>
          </w:p>
        </w:tc>
      </w:tr>
      <w:tr>
        <w:trPr/>
        <w:tc>
          <w:tcPr>
            <w:tcW w:w="7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9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9" name="Frame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81" w:type="dxa"/>
                              <w:jc w:val="lef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81" w:type="dxa"/>
                        <w:jc w:val="left"/>
                        <w:tblInd w:w="0" w:type="dxa"/>
                        <w:tblLayout w:type="fixed"/>
                        <w:tblCellMar>
                          <w:top w:w="28" w:type="dxa"/>
                          <w:left w:w="28" w:type="dxa"/>
                          <w:bottom w:w="28" w:type="dxa"/>
                          <w:right w:w="28" w:type="dxa"/>
                        </w:tblCellMar>
                      </w:tblPr>
                      <w:tblGrid>
                        <w:gridCol w:w="1268"/>
                        <w:gridCol w:w="1116"/>
                        <w:gridCol w:w="1125"/>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H&amp;R Block, Inc.</w:t>
                            </w:r>
                            <w:r>
                              <w:rPr>
                                <w:color w:val="000000"/>
                              </w:rPr>
                              <w:t xml:space="preserve"> </w:t>
                            </w:r>
                            <w:r>
                              <w:rPr>
                                <w:rFonts w:ascii="sans-serif" w:hAnsi="sans-serif"/>
                                <w:b w:val="false"/>
                                <w:color w:val="000000"/>
                                <w:sz w:val="16"/>
                              </w:rPr>
                              <w:t>|Q2 FY2026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60478dfa7e7e49c39838dcbe20a54579_7">
        <w:r>
          <w:rPr>
            <w:rStyle w:val="InternetLink"/>
            <w:rFonts w:ascii="sans-serif" w:hAnsi="sans-serif"/>
            <w:b w:val="false"/>
            <w:color w:val="0000FF"/>
            <w:sz w:val="18"/>
            <w:u w:val="single"/>
          </w:rPr>
          <w:t>Table of Contents</w:t>
        </w:r>
      </w:hyperlink>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3795" w:type="dxa"/>
        <w:jc w:val="right"/>
        <w:tblInd w:w="0" w:type="dxa"/>
        <w:tblLayout w:type="fixed"/>
        <w:tblCellMar>
          <w:top w:w="28" w:type="dxa"/>
          <w:left w:w="28" w:type="dxa"/>
          <w:bottom w:w="28" w:type="dxa"/>
          <w:right w:w="28" w:type="dxa"/>
        </w:tblCellMar>
      </w:tblPr>
      <w:tblGrid>
        <w:gridCol w:w="1212"/>
        <w:gridCol w:w="1066"/>
        <w:gridCol w:w="1517"/>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H&amp;R BLOCK, INC.</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April M. Wasleski</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M. Wasleski</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Accounting Officer</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37845"/>
                <wp:effectExtent l="0" t="0" r="0" b="0"/>
                <wp:wrapNone/>
                <wp:docPr id="30" name="Frame3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422.15pt;mso-position-horizontal:left;mso-position-horizontal-relative:text">
                <v:textbox>
                  <w:txbxContent>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FFFFFF"/>
                                <w:sz w:val="16"/>
                                <w:shd w:fill="000000" w:val="clear"/>
                              </w:rPr>
                            </w:pPr>
                            <w:r>
                              <w:rPr>
                                <w:rFonts w:ascii="sans-serif" w:hAnsi="sans-serif"/>
                                <w:b w:val="false"/>
                                <w:color w:val="FFFFFF"/>
                                <w:sz w:val="16"/>
                                <w:shd w:fill="000000" w:val="clear"/>
                              </w:rPr>
                              <w:t>28</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 xml:space="preserve">Q2 FY2026 Form 10-Q| </w:t>
                            </w:r>
                            <w:r>
                              <w:rPr>
                                <w:rFonts w:ascii="sans-serif" w:hAns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I, Curtis A. Campbell, Chief Executive Officer, certify that: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5095" w:type="dxa"/>
        <w:jc w:val="left"/>
        <w:tblInd w:w="0" w:type="dxa"/>
        <w:tblLayout w:type="fixed"/>
        <w:tblCellMar>
          <w:top w:w="28" w:type="dxa"/>
          <w:left w:w="28" w:type="dxa"/>
          <w:bottom w:w="28" w:type="dxa"/>
          <w:right w:w="28" w:type="dxa"/>
        </w:tblCellMar>
      </w:tblPr>
      <w:tblGrid>
        <w:gridCol w:w="233"/>
        <w:gridCol w:w="205"/>
        <w:gridCol w:w="207"/>
        <w:gridCol w:w="579"/>
        <w:gridCol w:w="579"/>
        <w:gridCol w:w="581"/>
        <w:gridCol w:w="109"/>
        <w:gridCol w:w="109"/>
        <w:gridCol w:w="109"/>
        <w:gridCol w:w="697"/>
        <w:gridCol w:w="697"/>
        <w:gridCol w:w="990"/>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w:t>
              <w:br/>
              <w:t>H&amp;R Block, Inc.</w:t>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I, Tiffany L. Mason, Chief Financial Officer, certify that: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the registrant's internal control over financial reporting.</w:t>
      </w:r>
    </w:p>
    <w:tbl>
      <w:tblPr>
        <w:tblW w:w="5006" w:type="dxa"/>
        <w:jc w:val="left"/>
        <w:tblInd w:w="0" w:type="dxa"/>
        <w:tblLayout w:type="fixed"/>
        <w:tblCellMar>
          <w:top w:w="28" w:type="dxa"/>
          <w:left w:w="28" w:type="dxa"/>
          <w:bottom w:w="28" w:type="dxa"/>
          <w:right w:w="28" w:type="dxa"/>
        </w:tblCellMar>
      </w:tblPr>
      <w:tblGrid>
        <w:gridCol w:w="233"/>
        <w:gridCol w:w="205"/>
        <w:gridCol w:w="207"/>
        <w:gridCol w:w="579"/>
        <w:gridCol w:w="579"/>
        <w:gridCol w:w="581"/>
        <w:gridCol w:w="109"/>
        <w:gridCol w:w="109"/>
        <w:gridCol w:w="109"/>
        <w:gridCol w:w="670"/>
        <w:gridCol w:w="670"/>
        <w:gridCol w:w="95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br/>
              <w:t>H&amp;R Block,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0"/>
        </w:rPr>
        <w:t>In connection with the quarterly report of H&amp;R Block, Inc. (the “Company”) on Form 10</w:t>
        <w:noBreakHyphen/>
        <w:t xml:space="preserve">Q for the fiscal quarter ended December 31, 2025 as filed with the Securities and Exchange Commission on the date hereof (the “Report”), I, Curtis A. Campbell, Chief Executive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2399" w:type="dxa"/>
        <w:jc w:val="righ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Curtis A. Campbell</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Curtis A. Campbell</w:t>
              <w:br/>
              <w:t>Chief Executive Officer</w:t>
              <w:br/>
              <w:t>H&amp;R Block, Inc.</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0"/>
        </w:rPr>
        <w:t>In connection with the quarterly report of H&amp;R Block, Inc. (the “Company”) on Form 10</w:t>
        <w:noBreakHyphen/>
        <w:t xml:space="preserve">Q for the fiscal quarter ended December 31, 2025 as filed with the Securities and Exchange Commission on the date hereof (the “Report”), I, Tiffany L. Mason, Chief Financial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2310" w:type="dxa"/>
        <w:jc w:val="righ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Tiffany L. Mason</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Tiffany L. Mason</w:t>
              <w:br/>
              <w:t>Chief Financial Officer</w:t>
              <w:br/>
              <w:t>H&amp;R Block,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5, 2026</w:t>
            </w:r>
          </w:p>
        </w:tc>
      </w:tr>
    </w:tbl>
    <w:p>
      <w:pPr>
        <w:pStyle w:val="TextBody"/>
        <w:bidi w:val="0"/>
        <w:spacing w:before="12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59/000183886224000030/hrb20240630exhibit22.htm" TargetMode="External"/><Relationship Id="rId3" Type="http://schemas.openxmlformats.org/officeDocument/2006/relationships/hyperlink" Target="https://www.sec.gov/Archives/edgar/data/12659/000183886224000030/hrb20240630exhibit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13512</Words>
  <Characters>74502</Characters>
  <CharactersWithSpaces>86592</CharactersWithSpaces>
  <Paragraphs>2731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