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601980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561340</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24" w:lineRule="exact"/>
        <w:rPr>
          <w:sz w:val="24"/>
          <w:szCs w:val="24"/>
          <w:color w:val="auto"/>
        </w:rPr>
      </w:pPr>
    </w:p>
    <w:p>
      <w:pPr>
        <w:ind w:left="20"/>
        <w:spacing w:after="0"/>
        <w:rPr>
          <w:sz w:val="20"/>
          <w:szCs w:val="20"/>
          <w:color w:val="auto"/>
        </w:rPr>
      </w:pPr>
      <w:r>
        <w:rPr>
          <w:rFonts w:ascii="Arial" w:cs="Arial" w:eastAsia="Arial" w:hAnsi="Arial"/>
          <w:sz w:val="17"/>
          <w:szCs w:val="17"/>
          <w:color w:val="auto"/>
        </w:rPr>
        <w:t>(Mark One)</w:t>
      </w:r>
    </w:p>
    <w:p>
      <w:pPr>
        <w:spacing w:after="0" w:line="30" w:lineRule="exact"/>
        <w:rPr>
          <w:sz w:val="24"/>
          <w:szCs w:val="24"/>
          <w:color w:val="auto"/>
        </w:rPr>
      </w:pPr>
    </w:p>
    <w:p>
      <w:pPr>
        <w:ind w:left="1080" w:hanging="677"/>
        <w:spacing w:after="0"/>
        <w:tabs>
          <w:tab w:leader="none" w:pos="1080" w:val="left"/>
        </w:tabs>
        <w:numPr>
          <w:ilvl w:val="0"/>
          <w:numId w:val="1"/>
        </w:numPr>
        <w:rPr>
          <w:rFonts w:ascii="MS PGothic" w:cs="MS PGothic" w:eastAsia="MS PGothic" w:hAnsi="MS PGothic"/>
          <w:sz w:val="15"/>
          <w:szCs w:val="15"/>
          <w:color w:val="auto"/>
        </w:rPr>
      </w:pPr>
      <w:r>
        <w:rPr>
          <w:rFonts w:ascii="Arial" w:cs="Arial" w:eastAsia="Arial" w:hAnsi="Arial"/>
          <w:sz w:val="17"/>
          <w:szCs w:val="17"/>
          <w:color w:val="auto"/>
        </w:rPr>
        <w:t>QUARTERLY REPORT PURSUANT TO SECTION 13 OR 15(d) OF THE SECURITIES EXCHANGE ACT OF 1934</w:t>
      </w:r>
    </w:p>
    <w:p>
      <w:pPr>
        <w:sectPr>
          <w:pgSz w:w="11900" w:h="16838" w:orient="portrait"/>
          <w:cols w:equalWidth="0" w:num="1">
            <w:col w:w="11240"/>
          </w:cols>
          <w:pgMar w:left="320" w:top="230" w:right="339" w:bottom="1440" w:gutter="0" w:footer="0" w:header="0"/>
        </w:sectPr>
      </w:pPr>
    </w:p>
    <w:p>
      <w:pPr>
        <w:spacing w:after="0" w:line="27" w:lineRule="exact"/>
        <w:rPr>
          <w:sz w:val="24"/>
          <w:szCs w:val="24"/>
          <w:color w:val="auto"/>
        </w:rPr>
      </w:pPr>
    </w:p>
    <w:p>
      <w:pPr>
        <w:ind w:left="1080"/>
        <w:spacing w:after="0"/>
        <w:tabs>
          <w:tab w:leader="none" w:pos="4260" w:val="left"/>
        </w:tabs>
        <w:rPr>
          <w:sz w:val="20"/>
          <w:szCs w:val="20"/>
          <w:color w:val="auto"/>
        </w:rPr>
      </w:pPr>
      <w:r>
        <w:rPr>
          <w:rFonts w:ascii="Arial" w:cs="Arial" w:eastAsia="Arial" w:hAnsi="Arial"/>
          <w:sz w:val="17"/>
          <w:szCs w:val="17"/>
          <w:b w:val="1"/>
          <w:bCs w:val="1"/>
          <w:color w:val="auto"/>
        </w:rPr>
        <w:t>For the quarterly period ended</w:t>
      </w:r>
      <w:r>
        <w:rPr>
          <w:sz w:val="20"/>
          <w:szCs w:val="20"/>
          <w:color w:val="auto"/>
        </w:rPr>
        <w:tab/>
      </w:r>
      <w:r>
        <w:rPr>
          <w:rFonts w:ascii="Arial" w:cs="Arial" w:eastAsia="Arial" w:hAnsi="Arial"/>
          <w:sz w:val="17"/>
          <w:szCs w:val="17"/>
          <w:b w:val="1"/>
          <w:bCs w:val="1"/>
          <w:color w:val="auto"/>
        </w:rPr>
        <w:t>March 31, 2026</w:t>
      </w:r>
    </w:p>
    <w:p>
      <w:pPr>
        <w:spacing w:after="0" w:line="30" w:lineRule="exact"/>
        <w:rPr>
          <w:sz w:val="24"/>
          <w:szCs w:val="24"/>
          <w:color w:val="auto"/>
        </w:rPr>
      </w:pPr>
    </w:p>
    <w:p>
      <w:pPr>
        <w:ind w:left="5500"/>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240"/>
          </w:cols>
          <w:pgMar w:left="320" w:top="230" w:right="339" w:bottom="1440" w:gutter="0" w:footer="0" w:header="0"/>
          <w:type w:val="continuous"/>
        </w:sectPr>
      </w:pPr>
    </w:p>
    <w:p>
      <w:pPr>
        <w:spacing w:after="0" w:line="14" w:lineRule="exact"/>
        <w:rPr>
          <w:sz w:val="24"/>
          <w:szCs w:val="24"/>
          <w:color w:val="auto"/>
        </w:rPr>
      </w:pPr>
    </w:p>
    <w:p>
      <w:pPr>
        <w:ind w:left="1080" w:hanging="684"/>
        <w:spacing w:after="0"/>
        <w:tabs>
          <w:tab w:leader="none" w:pos="10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3" w:lineRule="exact"/>
        <w:rPr>
          <w:rFonts w:ascii="MS PGothic" w:cs="MS PGothic" w:eastAsia="MS PGothic" w:hAnsi="MS PGothic"/>
          <w:sz w:val="17"/>
          <w:szCs w:val="17"/>
          <w:color w:val="auto"/>
        </w:rPr>
      </w:pPr>
    </w:p>
    <w:p>
      <w:pPr>
        <w:ind w:left="108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transition period from to</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1-06089</w:t>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H&amp;R Block,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30" w:right="339" w:bottom="1440" w:gutter="0" w:footer="0" w:header="0"/>
          <w:type w:val="continuous"/>
        </w:sectPr>
      </w:pPr>
    </w:p>
    <w:p>
      <w:pPr>
        <w:spacing w:after="0" w:line="99" w:lineRule="exact"/>
        <w:rPr>
          <w:sz w:val="24"/>
          <w:szCs w:val="24"/>
          <w:color w:val="auto"/>
        </w:rPr>
      </w:pPr>
    </w:p>
    <w:p>
      <w:pPr>
        <w:ind w:left="244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42" w:lineRule="exact"/>
        <w:rPr>
          <w:sz w:val="24"/>
          <w:szCs w:val="24"/>
          <w:color w:val="auto"/>
        </w:rPr>
      </w:pPr>
    </w:p>
    <w:p>
      <w:pPr>
        <w:sectPr>
          <w:pgSz w:w="11900" w:h="16838" w:orient="portrait"/>
          <w:cols w:equalWidth="0" w:num="2">
            <w:col w:w="7300" w:space="720"/>
            <w:col w:w="3220"/>
          </w:cols>
          <w:pgMar w:left="320" w:top="230" w:right="339" w:bottom="1440" w:gutter="0" w:footer="0" w:header="0"/>
          <w:type w:val="continuous"/>
        </w:sectPr>
      </w:pPr>
    </w:p>
    <w:p>
      <w:pPr>
        <w:ind w:left="194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37" w:lineRule="exact"/>
        <w:rPr>
          <w:sz w:val="24"/>
          <w:szCs w:val="24"/>
          <w:color w:val="auto"/>
        </w:rPr>
      </w:pPr>
    </w:p>
    <w:p>
      <w:pPr>
        <w:sectPr>
          <w:pgSz w:w="11900" w:h="16838" w:orient="portrait"/>
          <w:cols w:equalWidth="0" w:num="2">
            <w:col w:w="7240" w:space="720"/>
            <w:col w:w="3280"/>
          </w:cols>
          <w:pgMar w:left="320" w:top="230" w:right="339" w:bottom="1440" w:gutter="0" w:footer="0" w:header="0"/>
          <w:type w:val="continuous"/>
        </w:sectPr>
      </w:pPr>
    </w:p>
    <w:p>
      <w:pPr>
        <w:ind w:left="19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No.)</w:t>
      </w:r>
    </w:p>
    <w:p>
      <w:pPr>
        <w:spacing w:after="0" w:line="161" w:lineRule="exact"/>
        <w:rPr>
          <w:sz w:val="24"/>
          <w:szCs w:val="24"/>
          <w:color w:val="auto"/>
        </w:rPr>
      </w:pPr>
    </w:p>
    <w:p>
      <w:pPr>
        <w:sectPr>
          <w:pgSz w:w="11900" w:h="16838" w:orient="portrait"/>
          <w:cols w:equalWidth="0" w:num="2">
            <w:col w:w="7220" w:space="720"/>
            <w:col w:w="3300"/>
          </w:cols>
          <w:pgMar w:left="320" w:top="230"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One H&amp;R Block Way, Kansas City, Missouri 64105</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(816) 854-3000</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240"/>
          </w:cols>
          <w:pgMar w:left="320" w:top="230" w:right="339" w:bottom="1440" w:gutter="0" w:footer="0" w:header="0"/>
          <w:type w:val="continuous"/>
        </w:sectPr>
      </w:pPr>
    </w:p>
    <w:p>
      <w:pPr>
        <w:spacing w:after="0" w:line="142" w:lineRule="exact"/>
        <w:rPr>
          <w:sz w:val="24"/>
          <w:szCs w:val="24"/>
          <w:color w:val="auto"/>
        </w:rPr>
      </w:pPr>
    </w:p>
    <w:p>
      <w:pPr>
        <w:ind w:left="174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Name of each exchange on which registered</w:t>
      </w:r>
    </w:p>
    <w:p>
      <w:pPr>
        <w:spacing w:after="0" w:line="41" w:lineRule="exact"/>
        <w:rPr>
          <w:sz w:val="24"/>
          <w:szCs w:val="24"/>
          <w:color w:val="auto"/>
        </w:rPr>
      </w:pPr>
    </w:p>
    <w:p>
      <w:pPr>
        <w:sectPr>
          <w:pgSz w:w="11900" w:h="16838" w:orient="portrait"/>
          <w:cols w:equalWidth="0" w:num="3">
            <w:col w:w="4300" w:space="720"/>
            <w:col w:w="1720" w:space="720"/>
            <w:col w:w="3780"/>
          </w:cols>
          <w:pgMar w:left="320" w:top="230" w:right="33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New York Stock Exchange</w:t>
      </w:r>
    </w:p>
    <w:p>
      <w:pPr>
        <w:spacing w:after="0" w:line="200" w:lineRule="exact"/>
        <w:rPr>
          <w:sz w:val="24"/>
          <w:szCs w:val="24"/>
          <w:color w:val="auto"/>
        </w:rPr>
      </w:pPr>
    </w:p>
    <w:p>
      <w:pPr>
        <w:sectPr>
          <w:pgSz w:w="11900" w:h="16838" w:orient="portrait"/>
          <w:cols w:equalWidth="0" w:num="3">
            <w:col w:w="4740" w:space="720"/>
            <w:col w:w="1820" w:space="720"/>
            <w:col w:w="3240"/>
          </w:cols>
          <w:pgMar w:left="320" w:top="230" w:right="339" w:bottom="1440" w:gutter="0" w:footer="0" w:header="0"/>
          <w:type w:val="continuous"/>
        </w:sectPr>
      </w:pPr>
    </w:p>
    <w:p>
      <w:pPr>
        <w:spacing w:after="0" w:line="14" w:lineRule="exact"/>
        <w:rPr>
          <w:sz w:val="24"/>
          <w:szCs w:val="24"/>
          <w:color w:val="auto"/>
        </w:rPr>
      </w:pPr>
    </w:p>
    <w:p>
      <w:pPr>
        <w:jc w:val="both"/>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tabs>
          <w:tab w:leader="none" w:pos="64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7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 w:lineRule="exact"/>
        <w:rPr>
          <w:sz w:val="24"/>
          <w:szCs w:val="24"/>
          <w:color w:val="auto"/>
        </w:rPr>
      </w:pPr>
    </w:p>
    <w:p>
      <w:pPr>
        <w:spacing w:after="0" w:line="196" w:lineRule="exact"/>
        <w:tabs>
          <w:tab w:leader="none" w:pos="1840" w:val="left"/>
          <w:tab w:leader="none" w:pos="3360" w:val="left"/>
          <w:tab w:leader="none" w:pos="5100" w:val="left"/>
          <w:tab w:leader="none" w:pos="69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7"/>
          <w:szCs w:val="17"/>
          <w:color w:val="auto"/>
        </w:rPr>
        <w:t>☐</w:t>
      </w:r>
      <w:r>
        <w:rPr>
          <w:sz w:val="20"/>
          <w:szCs w:val="20"/>
          <w:color w:val="auto"/>
        </w:rPr>
        <w:tab/>
      </w:r>
      <w:r>
        <w:rPr>
          <w:rFonts w:ascii="Arial" w:cs="Arial" w:eastAsia="Arial" w:hAnsi="Arial"/>
          <w:sz w:val="12"/>
          <w:szCs w:val="12"/>
          <w:color w:val="auto"/>
        </w:rPr>
        <w:t xml:space="preserve">Emerging growth company </w:t>
      </w:r>
      <w:r>
        <w:rPr>
          <w:rFonts w:ascii="MS PGothic" w:cs="MS PGothic" w:eastAsia="MS PGothic" w:hAnsi="MS PGothic"/>
          <w:sz w:val="16"/>
          <w:szCs w:val="16"/>
          <w:color w:val="auto"/>
        </w:rPr>
        <w:t>☐</w:t>
      </w:r>
    </w:p>
    <w:p>
      <w:pPr>
        <w:spacing w:after="0" w:line="262"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32" w:lineRule="exact"/>
        <w:rPr>
          <w:sz w:val="24"/>
          <w:szCs w:val="24"/>
          <w:color w:val="auto"/>
        </w:rPr>
      </w:pPr>
    </w:p>
    <w:p>
      <w:pPr>
        <w:spacing w:after="0" w:line="196" w:lineRule="exact"/>
        <w:tabs>
          <w:tab w:leader="none" w:pos="60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rFonts w:ascii="Arial" w:cs="Arial" w:eastAsia="Arial" w:hAnsi="Arial"/>
          <w:sz w:val="15"/>
          <w:szCs w:val="15"/>
          <w:color w:val="auto"/>
        </w:rPr>
        <w:tab/>
        <w:t xml:space="preserve">No </w:t>
      </w:r>
      <w:r>
        <w:rPr>
          <w:rFonts w:ascii="MS PGothic" w:cs="MS PGothic" w:eastAsia="MS PGothic" w:hAnsi="MS PGothic"/>
          <w:sz w:val="17"/>
          <w:szCs w:val="17"/>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outstanding of the registrant's Common Stock, without par value, at the close of business on April 30, 2026: 126,760,207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786130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20"/>
        <w:spacing w:after="0"/>
        <w:rPr>
          <w:sz w:val="20"/>
          <w:szCs w:val="20"/>
          <w:color w:val="auto"/>
        </w:rPr>
      </w:pPr>
      <w:r>
        <w:rPr>
          <w:rFonts w:ascii="Arial" w:cs="Arial" w:eastAsia="Arial" w:hAnsi="Arial"/>
          <w:sz w:val="21"/>
          <w:szCs w:val="21"/>
          <w:b w:val="1"/>
          <w:bCs w:val="1"/>
          <w:color w:val="auto"/>
        </w:rPr>
        <w:t>Form 10-Q for the Period ended March 31, 2026</w:t>
      </w:r>
    </w:p>
    <w:p>
      <w:pPr>
        <w:spacing w:after="0" w:line="119"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Table of Contents</w:t>
      </w:r>
    </w:p>
    <w:p>
      <w:pPr>
        <w:spacing w:after="0" w:line="107" w:lineRule="exact"/>
        <w:rPr>
          <w:sz w:val="20"/>
          <w:szCs w:val="20"/>
          <w:color w:val="auto"/>
        </w:rPr>
      </w:pPr>
    </w:p>
    <w:p>
      <w:pPr>
        <w:ind w:left="5260"/>
        <w:spacing w:after="0"/>
        <w:rPr>
          <w:sz w:val="20"/>
          <w:szCs w:val="20"/>
          <w:color w:val="auto"/>
        </w:rPr>
      </w:pPr>
      <w:r>
        <w:rPr>
          <w:rFonts w:ascii="Arial" w:cs="Arial" w:eastAsia="Arial" w:hAnsi="Arial"/>
          <w:sz w:val="21"/>
          <w:szCs w:val="21"/>
          <w:b w:val="1"/>
          <w:bCs w:val="1"/>
          <w:color w:val="auto"/>
        </w:rPr>
        <w:t>PART I</w:t>
      </w:r>
    </w:p>
    <w:tbl>
      <w:tblPr>
        <w:tblLayout w:type="fixed"/>
        <w:tblInd w:w="0" w:type="dxa"/>
        <w:tblCellMar>
          <w:top w:w="0" w:type="dxa"/>
          <w:left w:w="0" w:type="dxa"/>
          <w:bottom w:w="0" w:type="dxa"/>
          <w:right w:w="0" w:type="dxa"/>
        </w:tblCellMar>
      </w:tblPr>
      <w:tr>
        <w:trPr>
          <w:trHeight w:val="256"/>
        </w:trPr>
        <w:tc>
          <w:tcPr>
            <w:tcW w:w="1160" w:type="dxa"/>
            <w:vAlign w:val="bottom"/>
            <w:gridSpan w:val="4"/>
            <w:shd w:val="clear" w:color="auto" w:fill="CCEEFF"/>
          </w:tcPr>
          <w:p>
            <w:pPr>
              <w:ind w:left="20"/>
              <w:spacing w:after="0" w:line="236" w:lineRule="exact"/>
              <w:rPr>
                <w:sz w:val="20"/>
                <w:szCs w:val="20"/>
                <w:color w:val="auto"/>
              </w:rPr>
            </w:pPr>
            <w:r>
              <w:rPr>
                <w:rFonts w:ascii="Arial" w:cs="Arial" w:eastAsia="Arial" w:hAnsi="Arial"/>
                <w:sz w:val="21"/>
                <w:szCs w:val="21"/>
                <w:color w:val="0000FF"/>
              </w:rPr>
              <w:t>Item 1.</w:t>
            </w:r>
          </w:p>
        </w:tc>
        <w:tc>
          <w:tcPr>
            <w:tcW w:w="8100" w:type="dxa"/>
            <w:vAlign w:val="bottom"/>
            <w:gridSpan w:val="22"/>
            <w:shd w:val="clear" w:color="auto" w:fill="CCEEFF"/>
          </w:tcPr>
          <w:p>
            <w:pPr>
              <w:spacing w:after="0" w:line="236" w:lineRule="exact"/>
              <w:rPr>
                <w:sz w:val="20"/>
                <w:szCs w:val="20"/>
                <w:color w:val="auto"/>
              </w:rPr>
            </w:pPr>
            <w:r>
              <w:rPr>
                <w:rFonts w:ascii="Arial" w:cs="Arial" w:eastAsia="Arial" w:hAnsi="Arial"/>
                <w:sz w:val="21"/>
                <w:szCs w:val="21"/>
                <w:color w:val="0000FF"/>
              </w:rPr>
              <w:t>Consolidated Statements of Operations and Comprehensive Income</w:t>
            </w:r>
          </w:p>
        </w:tc>
        <w:tc>
          <w:tcPr>
            <w:tcW w:w="1500" w:type="dxa"/>
            <w:vAlign w:val="bottom"/>
            <w:tcBorders>
              <w:right w:val="single" w:sz="8" w:color="CCEEFF"/>
            </w:tcBorders>
            <w:gridSpan w:val="2"/>
            <w:shd w:val="clear" w:color="auto" w:fill="CCEEFF"/>
          </w:tcPr>
          <w:p>
            <w:pPr>
              <w:jc w:val="center"/>
              <w:ind w:left="1157"/>
              <w:spacing w:after="0" w:line="236" w:lineRule="exact"/>
              <w:rPr>
                <w:sz w:val="20"/>
                <w:szCs w:val="20"/>
                <w:color w:val="auto"/>
              </w:rPr>
            </w:pPr>
            <w:r>
              <w:rPr>
                <w:rFonts w:ascii="Arial" w:cs="Arial" w:eastAsia="Arial" w:hAnsi="Arial"/>
                <w:sz w:val="21"/>
                <w:szCs w:val="21"/>
                <w:color w:val="0000FF"/>
              </w:rPr>
              <w:t>1</w:t>
            </w:r>
          </w:p>
        </w:tc>
        <w:tc>
          <w:tcPr>
            <w:tcW w:w="480" w:type="dxa"/>
            <w:vAlign w:val="bottom"/>
            <w:shd w:val="clear" w:color="auto" w:fill="CCEEFF"/>
          </w:tcPr>
          <w:p>
            <w:pPr>
              <w:spacing w:after="0"/>
              <w:rPr>
                <w:sz w:val="22"/>
                <w:szCs w:val="22"/>
                <w:color w:val="auto"/>
              </w:rPr>
            </w:pP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6100" w:type="dxa"/>
            <w:vAlign w:val="bottom"/>
            <w:tcBorders>
              <w:top w:val="single" w:sz="8" w:color="0000FF"/>
            </w:tcBorders>
            <w:gridSpan w:val="20"/>
            <w:shd w:val="clear" w:color="auto" w:fill="CCEEFF"/>
          </w:tcPr>
          <w:p>
            <w:pPr>
              <w:spacing w:after="0" w:line="166" w:lineRule="exact"/>
              <w:rPr>
                <w:sz w:val="20"/>
                <w:szCs w:val="20"/>
                <w:color w:val="auto"/>
              </w:rPr>
            </w:pPr>
            <w:r>
              <w:rPr>
                <w:rFonts w:ascii="Arial" w:cs="Arial" w:eastAsia="Arial" w:hAnsi="Arial"/>
                <w:sz w:val="19"/>
                <w:szCs w:val="19"/>
                <w:color w:val="0000FF"/>
              </w:rPr>
              <w:t>Three and nine months ended March 31, 2026 and 2025</w:t>
            </w:r>
          </w:p>
        </w:tc>
        <w:tc>
          <w:tcPr>
            <w:tcW w:w="18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right w:val="single" w:sz="8" w:color="CCEEFF"/>
            </w:tcBorders>
            <w:shd w:val="clear" w:color="auto" w:fill="CCEEFF"/>
          </w:tcPr>
          <w:p>
            <w:pPr>
              <w:spacing w:after="0"/>
              <w:rPr>
                <w:sz w:val="14"/>
                <w:szCs w:val="14"/>
                <w:color w:val="auto"/>
              </w:rPr>
            </w:pPr>
          </w:p>
        </w:tc>
        <w:tc>
          <w:tcPr>
            <w:tcW w:w="180" w:type="dxa"/>
            <w:vAlign w:val="bottom"/>
            <w:tcBorders>
              <w:top w:val="single" w:sz="8" w:color="0000FF"/>
              <w:righ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00" w:type="dxa"/>
            <w:vAlign w:val="bottom"/>
            <w:gridSpan w:val="22"/>
          </w:tcPr>
          <w:p>
            <w:pPr>
              <w:spacing w:after="0" w:line="207" w:lineRule="exact"/>
              <w:rPr>
                <w:sz w:val="20"/>
                <w:szCs w:val="20"/>
                <w:color w:val="auto"/>
              </w:rPr>
            </w:pPr>
            <w:r>
              <w:rPr>
                <w:rFonts w:ascii="Arial" w:cs="Arial" w:eastAsia="Arial" w:hAnsi="Arial"/>
                <w:sz w:val="21"/>
                <w:szCs w:val="21"/>
                <w:color w:val="0000FF"/>
              </w:rPr>
              <w:t>Consolidated Balance Sheets</w:t>
            </w:r>
          </w:p>
        </w:tc>
        <w:tc>
          <w:tcPr>
            <w:tcW w:w="1500" w:type="dxa"/>
            <w:vAlign w:val="bottom"/>
            <w:gridSpan w:val="2"/>
          </w:tcPr>
          <w:p>
            <w:pPr>
              <w:jc w:val="center"/>
              <w:ind w:left="1157"/>
              <w:spacing w:after="0" w:line="207" w:lineRule="exact"/>
              <w:rPr>
                <w:sz w:val="20"/>
                <w:szCs w:val="20"/>
                <w:color w:val="auto"/>
              </w:rPr>
            </w:pPr>
            <w:r>
              <w:rPr>
                <w:rFonts w:ascii="Arial" w:cs="Arial" w:eastAsia="Arial" w:hAnsi="Arial"/>
                <w:sz w:val="21"/>
                <w:szCs w:val="21"/>
                <w:color w:val="0000FF"/>
              </w:rPr>
              <w:t>2</w:t>
            </w:r>
          </w:p>
        </w:tc>
        <w:tc>
          <w:tcPr>
            <w:tcW w:w="48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420" w:type="dxa"/>
            <w:vAlign w:val="bottom"/>
            <w:tcBorders>
              <w:top w:val="single" w:sz="8" w:color="0000FF"/>
            </w:tcBorders>
            <w:gridSpan w:val="8"/>
          </w:tcPr>
          <w:p>
            <w:pPr>
              <w:spacing w:after="0" w:line="187" w:lineRule="exact"/>
              <w:rPr>
                <w:sz w:val="20"/>
                <w:szCs w:val="20"/>
                <w:color w:val="auto"/>
              </w:rPr>
            </w:pPr>
            <w:r>
              <w:rPr>
                <w:rFonts w:ascii="Arial" w:cs="Arial" w:eastAsia="Arial" w:hAnsi="Arial"/>
                <w:sz w:val="21"/>
                <w:szCs w:val="21"/>
                <w:color w:val="0000FF"/>
                <w:w w:val="99"/>
              </w:rPr>
              <w:t>As of March 31, 2026 and</w:t>
            </w:r>
          </w:p>
        </w:tc>
        <w:tc>
          <w:tcPr>
            <w:tcW w:w="5400" w:type="dxa"/>
            <w:vAlign w:val="bottom"/>
            <w:gridSpan w:val="11"/>
          </w:tcPr>
          <w:p>
            <w:pPr>
              <w:spacing w:after="0" w:line="187" w:lineRule="exact"/>
              <w:rPr>
                <w:sz w:val="20"/>
                <w:szCs w:val="20"/>
                <w:color w:val="auto"/>
              </w:rPr>
            </w:pPr>
            <w:r>
              <w:rPr>
                <w:rFonts w:ascii="Arial" w:cs="Arial" w:eastAsia="Arial" w:hAnsi="Arial"/>
                <w:sz w:val="21"/>
                <w:szCs w:val="21"/>
                <w:color w:val="0000FF"/>
              </w:rPr>
              <w:t>June 30, 2025</w:t>
            </w:r>
          </w:p>
        </w:tc>
        <w:tc>
          <w:tcPr>
            <w:tcW w:w="132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80" w:type="dxa"/>
            <w:vAlign w:val="bottom"/>
          </w:tcPr>
          <w:p>
            <w:pPr>
              <w:spacing w:after="0"/>
              <w:rPr>
                <w:sz w:val="16"/>
                <w:szCs w:val="16"/>
                <w:color w:val="auto"/>
              </w:rPr>
            </w:pPr>
          </w:p>
        </w:tc>
      </w:tr>
      <w:tr>
        <w:trPr>
          <w:trHeight w:val="32"/>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100" w:type="dxa"/>
            <w:vAlign w:val="bottom"/>
            <w:gridSpan w:val="22"/>
            <w:shd w:val="clear" w:color="auto" w:fill="CCEEFF"/>
          </w:tcPr>
          <w:p>
            <w:pPr>
              <w:spacing w:after="0" w:line="207" w:lineRule="exact"/>
              <w:rPr>
                <w:sz w:val="20"/>
                <w:szCs w:val="20"/>
                <w:color w:val="auto"/>
              </w:rPr>
            </w:pPr>
            <w:r>
              <w:rPr>
                <w:rFonts w:ascii="Arial" w:cs="Arial" w:eastAsia="Arial" w:hAnsi="Arial"/>
                <w:sz w:val="21"/>
                <w:szCs w:val="21"/>
                <w:color w:val="0000FF"/>
              </w:rPr>
              <w:t>Consolidated Statements of Cash Flows</w:t>
            </w:r>
          </w:p>
        </w:tc>
        <w:tc>
          <w:tcPr>
            <w:tcW w:w="1500" w:type="dxa"/>
            <w:vAlign w:val="bottom"/>
            <w:tcBorders>
              <w:right w:val="single" w:sz="8" w:color="CCEEFF"/>
            </w:tcBorders>
            <w:gridSpan w:val="2"/>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3</w:t>
            </w:r>
          </w:p>
        </w:tc>
        <w:tc>
          <w:tcPr>
            <w:tcW w:w="480" w:type="dxa"/>
            <w:vAlign w:val="bottom"/>
            <w:shd w:val="clear" w:color="auto" w:fill="CCEEFF"/>
          </w:tcPr>
          <w:p>
            <w:pPr>
              <w:spacing w:after="0"/>
              <w:rPr>
                <w:sz w:val="17"/>
                <w:szCs w:val="17"/>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540" w:type="dxa"/>
            <w:vAlign w:val="bottom"/>
            <w:gridSpan w:val="2"/>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80" w:type="dxa"/>
            <w:vAlign w:val="bottom"/>
            <w:gridSpan w:val="20"/>
            <w:shd w:val="clear" w:color="auto" w:fill="CCEEFF"/>
          </w:tcPr>
          <w:p>
            <w:pPr>
              <w:spacing w:after="0" w:line="187" w:lineRule="exact"/>
              <w:rPr>
                <w:sz w:val="20"/>
                <w:szCs w:val="20"/>
                <w:color w:val="auto"/>
              </w:rPr>
            </w:pPr>
            <w:r>
              <w:rPr>
                <w:rFonts w:ascii="Arial" w:cs="Arial" w:eastAsia="Arial" w:hAnsi="Arial"/>
                <w:sz w:val="21"/>
                <w:szCs w:val="21"/>
                <w:color w:val="0000FF"/>
              </w:rPr>
              <w:t>Nine months ended March 31, 2026 and 2025</w:t>
            </w:r>
          </w:p>
        </w:tc>
        <w:tc>
          <w:tcPr>
            <w:tcW w:w="132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00" w:type="dxa"/>
            <w:vAlign w:val="bottom"/>
            <w:gridSpan w:val="22"/>
          </w:tcPr>
          <w:p>
            <w:pPr>
              <w:spacing w:after="0" w:line="207" w:lineRule="exact"/>
              <w:rPr>
                <w:sz w:val="20"/>
                <w:szCs w:val="20"/>
                <w:color w:val="auto"/>
              </w:rPr>
            </w:pPr>
            <w:r>
              <w:rPr>
                <w:rFonts w:ascii="Arial" w:cs="Arial" w:eastAsia="Arial" w:hAnsi="Arial"/>
                <w:sz w:val="21"/>
                <w:szCs w:val="21"/>
                <w:color w:val="0000FF"/>
              </w:rPr>
              <w:t>Consolidated Statements of Stockholders' Equity</w:t>
            </w:r>
          </w:p>
        </w:tc>
        <w:tc>
          <w:tcPr>
            <w:tcW w:w="1500" w:type="dxa"/>
            <w:vAlign w:val="bottom"/>
            <w:gridSpan w:val="2"/>
          </w:tcPr>
          <w:p>
            <w:pPr>
              <w:jc w:val="center"/>
              <w:ind w:left="1157"/>
              <w:spacing w:after="0" w:line="207" w:lineRule="exact"/>
              <w:rPr>
                <w:sz w:val="20"/>
                <w:szCs w:val="20"/>
                <w:color w:val="auto"/>
              </w:rPr>
            </w:pPr>
            <w:r>
              <w:rPr>
                <w:rFonts w:ascii="Arial" w:cs="Arial" w:eastAsia="Arial" w:hAnsi="Arial"/>
                <w:sz w:val="21"/>
                <w:szCs w:val="21"/>
                <w:color w:val="0000FF"/>
              </w:rPr>
              <w:t>4</w:t>
            </w:r>
          </w:p>
        </w:tc>
        <w:tc>
          <w:tcPr>
            <w:tcW w:w="48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220" w:type="dxa"/>
            <w:vAlign w:val="bottom"/>
            <w:tcBorders>
              <w:top w:val="single" w:sz="8" w:color="0000FF"/>
            </w:tcBorders>
            <w:gridSpan w:val="14"/>
          </w:tcPr>
          <w:p>
            <w:pPr>
              <w:spacing w:after="0" w:line="187" w:lineRule="exact"/>
              <w:rPr>
                <w:sz w:val="20"/>
                <w:szCs w:val="20"/>
                <w:color w:val="auto"/>
              </w:rPr>
            </w:pPr>
            <w:r>
              <w:rPr>
                <w:rFonts w:ascii="Arial" w:cs="Arial" w:eastAsia="Arial" w:hAnsi="Arial"/>
                <w:sz w:val="21"/>
                <w:szCs w:val="21"/>
                <w:color w:val="0000FF"/>
                <w:w w:val="97"/>
              </w:rPr>
              <w:t>Three and nine months ended March 31, 2026</w:t>
            </w:r>
          </w:p>
        </w:tc>
        <w:tc>
          <w:tcPr>
            <w:tcW w:w="3660" w:type="dxa"/>
            <w:vAlign w:val="bottom"/>
            <w:gridSpan w:val="6"/>
          </w:tcPr>
          <w:p>
            <w:pPr>
              <w:ind w:left="80"/>
              <w:spacing w:after="0" w:line="187" w:lineRule="exact"/>
              <w:rPr>
                <w:sz w:val="20"/>
                <w:szCs w:val="20"/>
                <w:color w:val="auto"/>
              </w:rPr>
            </w:pPr>
            <w:r>
              <w:rPr>
                <w:rFonts w:ascii="Arial" w:cs="Arial" w:eastAsia="Arial" w:hAnsi="Arial"/>
                <w:sz w:val="21"/>
                <w:szCs w:val="21"/>
                <w:color w:val="0000FF"/>
              </w:rPr>
              <w:t>and 2025</w:t>
            </w:r>
          </w:p>
        </w:tc>
        <w:tc>
          <w:tcPr>
            <w:tcW w:w="132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80" w:type="dxa"/>
            <w:vAlign w:val="bottom"/>
          </w:tcPr>
          <w:p>
            <w:pPr>
              <w:spacing w:after="0"/>
              <w:rPr>
                <w:sz w:val="16"/>
                <w:szCs w:val="16"/>
                <w:color w:val="auto"/>
              </w:rPr>
            </w:pPr>
          </w:p>
        </w:tc>
      </w:tr>
      <w:tr>
        <w:trPr>
          <w:trHeight w:val="32"/>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100" w:type="dxa"/>
            <w:vAlign w:val="bottom"/>
            <w:gridSpan w:val="22"/>
            <w:shd w:val="clear" w:color="auto" w:fill="CCEEFF"/>
          </w:tcPr>
          <w:p>
            <w:pPr>
              <w:spacing w:after="0" w:line="207" w:lineRule="exact"/>
              <w:rPr>
                <w:sz w:val="20"/>
                <w:szCs w:val="20"/>
                <w:color w:val="auto"/>
              </w:rPr>
            </w:pPr>
            <w:r>
              <w:rPr>
                <w:rFonts w:ascii="Arial" w:cs="Arial" w:eastAsia="Arial" w:hAnsi="Arial"/>
                <w:sz w:val="21"/>
                <w:szCs w:val="21"/>
                <w:color w:val="0000FF"/>
              </w:rPr>
              <w:t>Notes to Consolidated Financial Statements</w:t>
            </w:r>
          </w:p>
        </w:tc>
        <w:tc>
          <w:tcPr>
            <w:tcW w:w="1500" w:type="dxa"/>
            <w:vAlign w:val="bottom"/>
            <w:tcBorders>
              <w:right w:val="single" w:sz="8" w:color="CCEEFF"/>
            </w:tcBorders>
            <w:gridSpan w:val="2"/>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6</w:t>
            </w:r>
          </w:p>
        </w:tc>
        <w:tc>
          <w:tcPr>
            <w:tcW w:w="480" w:type="dxa"/>
            <w:vAlign w:val="bottom"/>
            <w:shd w:val="clear" w:color="auto" w:fill="CCEEFF"/>
          </w:tcPr>
          <w:p>
            <w:pPr>
              <w:spacing w:after="0"/>
              <w:rPr>
                <w:sz w:val="17"/>
                <w:szCs w:val="17"/>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2.</w:t>
            </w:r>
          </w:p>
        </w:tc>
        <w:tc>
          <w:tcPr>
            <w:tcW w:w="8100" w:type="dxa"/>
            <w:vAlign w:val="bottom"/>
            <w:gridSpan w:val="22"/>
          </w:tcPr>
          <w:p>
            <w:pPr>
              <w:spacing w:after="0" w:line="207" w:lineRule="exact"/>
              <w:rPr>
                <w:sz w:val="20"/>
                <w:szCs w:val="20"/>
                <w:color w:val="auto"/>
              </w:rPr>
            </w:pPr>
            <w:r>
              <w:rPr>
                <w:rFonts w:ascii="Arial" w:cs="Arial" w:eastAsia="Arial" w:hAnsi="Arial"/>
                <w:sz w:val="21"/>
                <w:szCs w:val="21"/>
                <w:color w:val="0000FF"/>
                <w:w w:val="97"/>
              </w:rPr>
              <w:t>Management's Discussion and Analysis of Financial Condition and Results of Operations</w:t>
            </w:r>
          </w:p>
        </w:tc>
        <w:tc>
          <w:tcPr>
            <w:tcW w:w="1500" w:type="dxa"/>
            <w:vAlign w:val="bottom"/>
            <w:gridSpan w:val="2"/>
          </w:tcPr>
          <w:p>
            <w:pPr>
              <w:jc w:val="center"/>
              <w:ind w:left="1157"/>
              <w:spacing w:after="0" w:line="207" w:lineRule="exact"/>
              <w:rPr>
                <w:sz w:val="20"/>
                <w:szCs w:val="20"/>
                <w:color w:val="auto"/>
              </w:rPr>
            </w:pPr>
            <w:r>
              <w:rPr>
                <w:rFonts w:ascii="Arial" w:cs="Arial" w:eastAsia="Arial" w:hAnsi="Arial"/>
                <w:sz w:val="21"/>
                <w:szCs w:val="21"/>
                <w:color w:val="0000FF"/>
              </w:rPr>
              <w:t>18</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3.</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5400" w:type="dxa"/>
            <w:vAlign w:val="bottom"/>
            <w:tcBorders>
              <w:bottom w:val="single" w:sz="8" w:color="0000FF"/>
            </w:tcBorders>
            <w:gridSpan w:val="19"/>
            <w:shd w:val="clear" w:color="auto" w:fill="CCEEFF"/>
          </w:tcPr>
          <w:p>
            <w:pPr>
              <w:spacing w:after="0" w:line="207" w:lineRule="exact"/>
              <w:rPr>
                <w:sz w:val="20"/>
                <w:szCs w:val="20"/>
                <w:color w:val="auto"/>
              </w:rPr>
            </w:pPr>
            <w:r>
              <w:rPr>
                <w:rFonts w:ascii="Arial" w:cs="Arial" w:eastAsia="Arial" w:hAnsi="Arial"/>
                <w:sz w:val="21"/>
                <w:szCs w:val="21"/>
                <w:color w:val="0000FF"/>
                <w:w w:val="97"/>
              </w:rPr>
              <w:t>Quantitative and Qualitative Disclosures About Market Risk</w:t>
            </w:r>
          </w:p>
        </w:tc>
        <w:tc>
          <w:tcPr>
            <w:tcW w:w="2700" w:type="dxa"/>
            <w:vAlign w:val="bottom"/>
            <w:tcBorders>
              <w:bottom w:val="single" w:sz="8" w:color="CCEEFF"/>
            </w:tcBorders>
            <w:gridSpan w:val="3"/>
            <w:shd w:val="clear" w:color="auto" w:fill="CCEEFF"/>
          </w:tcPr>
          <w:p>
            <w:pPr>
              <w:spacing w:after="0"/>
              <w:rPr>
                <w:sz w:val="20"/>
                <w:szCs w:val="20"/>
                <w:color w:val="auto"/>
              </w:rPr>
            </w:pPr>
          </w:p>
        </w:tc>
        <w:tc>
          <w:tcPr>
            <w:tcW w:w="132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0000FF"/>
              <w:right w:val="single" w:sz="8" w:color="CCEEFF"/>
            </w:tcBorders>
            <w:shd w:val="clear" w:color="auto" w:fill="CCEEFF"/>
          </w:tcPr>
          <w:p>
            <w:pPr>
              <w:jc w:val="center"/>
              <w:spacing w:after="0" w:line="207" w:lineRule="exact"/>
              <w:rPr>
                <w:sz w:val="20"/>
                <w:szCs w:val="20"/>
                <w:color w:val="auto"/>
              </w:rPr>
            </w:pPr>
            <w:r>
              <w:rPr>
                <w:rFonts w:ascii="Arial" w:cs="Arial" w:eastAsia="Arial" w:hAnsi="Arial"/>
                <w:sz w:val="21"/>
                <w:szCs w:val="21"/>
                <w:color w:val="0000FF"/>
                <w:w w:val="76"/>
              </w:rPr>
              <w:t>27</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4.</w:t>
            </w:r>
          </w:p>
        </w:tc>
        <w:tc>
          <w:tcPr>
            <w:tcW w:w="8100" w:type="dxa"/>
            <w:vAlign w:val="bottom"/>
            <w:gridSpan w:val="22"/>
          </w:tcPr>
          <w:p>
            <w:pPr>
              <w:spacing w:after="0" w:line="207" w:lineRule="exact"/>
              <w:rPr>
                <w:sz w:val="20"/>
                <w:szCs w:val="20"/>
                <w:color w:val="auto"/>
              </w:rPr>
            </w:pPr>
            <w:r>
              <w:rPr>
                <w:rFonts w:ascii="Arial" w:cs="Arial" w:eastAsia="Arial" w:hAnsi="Arial"/>
                <w:sz w:val="21"/>
                <w:szCs w:val="21"/>
                <w:color w:val="0000FF"/>
              </w:rPr>
              <w:t>Controls and Procedures</w:t>
            </w:r>
          </w:p>
        </w:tc>
        <w:tc>
          <w:tcPr>
            <w:tcW w:w="1500" w:type="dxa"/>
            <w:vAlign w:val="bottom"/>
            <w:gridSpan w:val="2"/>
          </w:tcPr>
          <w:p>
            <w:pPr>
              <w:jc w:val="center"/>
              <w:ind w:left="1157"/>
              <w:spacing w:after="0" w:line="207" w:lineRule="exact"/>
              <w:rPr>
                <w:sz w:val="20"/>
                <w:szCs w:val="20"/>
                <w:color w:val="auto"/>
              </w:rPr>
            </w:pPr>
            <w:r>
              <w:rPr>
                <w:rFonts w:ascii="Arial" w:cs="Arial" w:eastAsia="Arial" w:hAnsi="Arial"/>
                <w:sz w:val="21"/>
                <w:szCs w:val="21"/>
                <w:color w:val="0000FF"/>
              </w:rPr>
              <w:t>27</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58"/>
        </w:trPr>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100" w:type="dxa"/>
            <w:vAlign w:val="bottom"/>
            <w:gridSpan w:val="8"/>
            <w:shd w:val="clear" w:color="auto" w:fill="CCEEFF"/>
          </w:tcPr>
          <w:p>
            <w:pPr>
              <w:ind w:left="60"/>
              <w:spacing w:after="0"/>
              <w:rPr>
                <w:sz w:val="20"/>
                <w:szCs w:val="20"/>
                <w:color w:val="auto"/>
              </w:rPr>
            </w:pPr>
            <w:r>
              <w:rPr>
                <w:rFonts w:ascii="Arial" w:cs="Arial" w:eastAsia="Arial" w:hAnsi="Arial"/>
                <w:sz w:val="21"/>
                <w:szCs w:val="21"/>
                <w:b w:val="1"/>
                <w:bCs w:val="1"/>
                <w:color w:val="auto"/>
              </w:rPr>
              <w:t>PART II</w:t>
            </w:r>
          </w:p>
        </w:tc>
        <w:tc>
          <w:tcPr>
            <w:tcW w:w="13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1.</w:t>
            </w:r>
          </w:p>
        </w:tc>
        <w:tc>
          <w:tcPr>
            <w:tcW w:w="8100" w:type="dxa"/>
            <w:vAlign w:val="bottom"/>
            <w:gridSpan w:val="22"/>
          </w:tcPr>
          <w:p>
            <w:pPr>
              <w:spacing w:after="0" w:line="207" w:lineRule="exact"/>
              <w:rPr>
                <w:sz w:val="20"/>
                <w:szCs w:val="20"/>
                <w:color w:val="auto"/>
              </w:rPr>
            </w:pPr>
            <w:r>
              <w:rPr>
                <w:rFonts w:ascii="Arial" w:cs="Arial" w:eastAsia="Arial" w:hAnsi="Arial"/>
                <w:sz w:val="21"/>
                <w:szCs w:val="21"/>
                <w:color w:val="0000FF"/>
              </w:rPr>
              <w:t>Legal Proceedings</w:t>
            </w:r>
          </w:p>
        </w:tc>
        <w:tc>
          <w:tcPr>
            <w:tcW w:w="1500" w:type="dxa"/>
            <w:vAlign w:val="bottom"/>
            <w:gridSpan w:val="2"/>
          </w:tcPr>
          <w:p>
            <w:pPr>
              <w:jc w:val="center"/>
              <w:ind w:left="1157"/>
              <w:spacing w:after="0" w:line="207" w:lineRule="exact"/>
              <w:rPr>
                <w:sz w:val="20"/>
                <w:szCs w:val="20"/>
                <w:color w:val="auto"/>
              </w:rPr>
            </w:pPr>
            <w:r>
              <w:rPr>
                <w:rFonts w:ascii="Arial" w:cs="Arial" w:eastAsia="Arial" w:hAnsi="Arial"/>
                <w:sz w:val="21"/>
                <w:szCs w:val="21"/>
                <w:color w:val="0000FF"/>
              </w:rPr>
              <w:t>28</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spacing w:after="0" w:line="207" w:lineRule="exact"/>
              <w:rPr>
                <w:sz w:val="20"/>
                <w:szCs w:val="20"/>
                <w:color w:val="auto"/>
              </w:rPr>
            </w:pPr>
            <w:r>
              <w:rPr>
                <w:rFonts w:ascii="Arial" w:cs="Arial" w:eastAsia="Arial" w:hAnsi="Arial"/>
                <w:sz w:val="21"/>
                <w:szCs w:val="21"/>
                <w:color w:val="0000FF"/>
              </w:rPr>
              <w:t>Item 1A.</w:t>
            </w:r>
          </w:p>
        </w:tc>
        <w:tc>
          <w:tcPr>
            <w:tcW w:w="8100" w:type="dxa"/>
            <w:vAlign w:val="bottom"/>
            <w:gridSpan w:val="22"/>
            <w:shd w:val="clear" w:color="auto" w:fill="CCEEFF"/>
          </w:tcPr>
          <w:p>
            <w:pPr>
              <w:spacing w:after="0" w:line="207" w:lineRule="exact"/>
              <w:rPr>
                <w:sz w:val="20"/>
                <w:szCs w:val="20"/>
                <w:color w:val="auto"/>
              </w:rPr>
            </w:pPr>
            <w:r>
              <w:rPr>
                <w:rFonts w:ascii="Arial" w:cs="Arial" w:eastAsia="Arial" w:hAnsi="Arial"/>
                <w:sz w:val="21"/>
                <w:szCs w:val="21"/>
                <w:color w:val="0000FF"/>
              </w:rPr>
              <w:t>Risk Factors</w:t>
            </w:r>
          </w:p>
        </w:tc>
        <w:tc>
          <w:tcPr>
            <w:tcW w:w="1500" w:type="dxa"/>
            <w:vAlign w:val="bottom"/>
            <w:tcBorders>
              <w:right w:val="single" w:sz="8" w:color="CCEEFF"/>
            </w:tcBorders>
            <w:gridSpan w:val="2"/>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28</w:t>
            </w:r>
          </w:p>
        </w:tc>
        <w:tc>
          <w:tcPr>
            <w:tcW w:w="480" w:type="dxa"/>
            <w:vAlign w:val="bottom"/>
            <w:shd w:val="clear" w:color="auto" w:fill="CCEEFF"/>
          </w:tcPr>
          <w:p>
            <w:pPr>
              <w:spacing w:after="0"/>
              <w:rPr>
                <w:sz w:val="17"/>
                <w:szCs w:val="17"/>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spacing w:after="0" w:line="207" w:lineRule="exact"/>
              <w:rPr>
                <w:sz w:val="20"/>
                <w:szCs w:val="20"/>
                <w:color w:val="auto"/>
              </w:rPr>
            </w:pPr>
            <w:r>
              <w:rPr>
                <w:rFonts w:ascii="Arial" w:cs="Arial" w:eastAsia="Arial" w:hAnsi="Arial"/>
                <w:sz w:val="21"/>
                <w:szCs w:val="21"/>
                <w:color w:val="0000FF"/>
              </w:rPr>
              <w:t>Item 2.</w:t>
            </w:r>
          </w:p>
        </w:tc>
        <w:tc>
          <w:tcPr>
            <w:tcW w:w="380" w:type="dxa"/>
            <w:vAlign w:val="bottom"/>
          </w:tcPr>
          <w:p>
            <w:pPr>
              <w:spacing w:after="0"/>
              <w:rPr>
                <w:sz w:val="17"/>
                <w:szCs w:val="17"/>
                <w:color w:val="auto"/>
              </w:rPr>
            </w:pPr>
          </w:p>
        </w:tc>
        <w:tc>
          <w:tcPr>
            <w:tcW w:w="8100" w:type="dxa"/>
            <w:vAlign w:val="bottom"/>
            <w:gridSpan w:val="22"/>
          </w:tcPr>
          <w:p>
            <w:pPr>
              <w:spacing w:after="0" w:line="207" w:lineRule="exact"/>
              <w:rPr>
                <w:sz w:val="20"/>
                <w:szCs w:val="20"/>
                <w:color w:val="auto"/>
              </w:rPr>
            </w:pPr>
            <w:r>
              <w:rPr>
                <w:rFonts w:ascii="Arial" w:cs="Arial" w:eastAsia="Arial" w:hAnsi="Arial"/>
                <w:sz w:val="21"/>
                <w:szCs w:val="21"/>
                <w:color w:val="0000FF"/>
              </w:rPr>
              <w:t>Unregistered Sales of Equity Securities and Use of Proceeds</w:t>
            </w:r>
          </w:p>
        </w:tc>
        <w:tc>
          <w:tcPr>
            <w:tcW w:w="1500" w:type="dxa"/>
            <w:vAlign w:val="bottom"/>
            <w:gridSpan w:val="2"/>
          </w:tcPr>
          <w:p>
            <w:pPr>
              <w:jc w:val="center"/>
              <w:ind w:left="1157"/>
              <w:spacing w:after="0" w:line="207" w:lineRule="exact"/>
              <w:rPr>
                <w:sz w:val="20"/>
                <w:szCs w:val="20"/>
                <w:color w:val="auto"/>
              </w:rPr>
            </w:pPr>
            <w:r>
              <w:rPr>
                <w:rFonts w:ascii="Arial" w:cs="Arial" w:eastAsia="Arial" w:hAnsi="Arial"/>
                <w:sz w:val="21"/>
                <w:szCs w:val="21"/>
                <w:color w:val="0000FF"/>
              </w:rPr>
              <w:t>28</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3.</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2920" w:type="dxa"/>
            <w:vAlign w:val="bottom"/>
            <w:tcBorders>
              <w:bottom w:val="single" w:sz="8" w:color="0000FF"/>
            </w:tcBorders>
            <w:gridSpan w:val="12"/>
            <w:shd w:val="clear" w:color="auto" w:fill="CCEEFF"/>
          </w:tcPr>
          <w:p>
            <w:pPr>
              <w:spacing w:after="0" w:line="207" w:lineRule="exact"/>
              <w:rPr>
                <w:sz w:val="20"/>
                <w:szCs w:val="20"/>
                <w:color w:val="auto"/>
              </w:rPr>
            </w:pPr>
            <w:r>
              <w:rPr>
                <w:rFonts w:ascii="Arial" w:cs="Arial" w:eastAsia="Arial" w:hAnsi="Arial"/>
                <w:sz w:val="21"/>
                <w:szCs w:val="21"/>
                <w:color w:val="0000FF"/>
                <w:w w:val="97"/>
              </w:rPr>
              <w:t>Defaults Upon Senior Securities</w:t>
            </w:r>
          </w:p>
        </w:tc>
        <w:tc>
          <w:tcPr>
            <w:tcW w:w="5180" w:type="dxa"/>
            <w:vAlign w:val="bottom"/>
            <w:tcBorders>
              <w:bottom w:val="single" w:sz="8" w:color="CCEEFF"/>
            </w:tcBorders>
            <w:gridSpan w:val="10"/>
            <w:shd w:val="clear" w:color="auto" w:fill="CCEEFF"/>
          </w:tcPr>
          <w:p>
            <w:pPr>
              <w:spacing w:after="0"/>
              <w:rPr>
                <w:sz w:val="20"/>
                <w:szCs w:val="20"/>
                <w:color w:val="auto"/>
              </w:rPr>
            </w:pPr>
          </w:p>
        </w:tc>
        <w:tc>
          <w:tcPr>
            <w:tcW w:w="132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0000FF"/>
              <w:right w:val="single" w:sz="8" w:color="CCEEFF"/>
            </w:tcBorders>
            <w:shd w:val="clear" w:color="auto" w:fill="CCEEFF"/>
          </w:tcPr>
          <w:p>
            <w:pPr>
              <w:jc w:val="center"/>
              <w:spacing w:after="0" w:line="207" w:lineRule="exact"/>
              <w:rPr>
                <w:sz w:val="20"/>
                <w:szCs w:val="20"/>
                <w:color w:val="auto"/>
              </w:rPr>
            </w:pPr>
            <w:r>
              <w:rPr>
                <w:rFonts w:ascii="Arial" w:cs="Arial" w:eastAsia="Arial" w:hAnsi="Arial"/>
                <w:sz w:val="21"/>
                <w:szCs w:val="21"/>
                <w:color w:val="0000FF"/>
                <w:w w:val="76"/>
              </w:rPr>
              <w:t>28</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4.</w:t>
            </w:r>
          </w:p>
        </w:tc>
        <w:tc>
          <w:tcPr>
            <w:tcW w:w="8100" w:type="dxa"/>
            <w:vAlign w:val="bottom"/>
            <w:gridSpan w:val="22"/>
          </w:tcPr>
          <w:p>
            <w:pPr>
              <w:spacing w:after="0" w:line="207" w:lineRule="exact"/>
              <w:rPr>
                <w:sz w:val="20"/>
                <w:szCs w:val="20"/>
                <w:color w:val="auto"/>
              </w:rPr>
            </w:pPr>
            <w:r>
              <w:rPr>
                <w:rFonts w:ascii="Arial" w:cs="Arial" w:eastAsia="Arial" w:hAnsi="Arial"/>
                <w:sz w:val="21"/>
                <w:szCs w:val="21"/>
                <w:color w:val="0000FF"/>
              </w:rPr>
              <w:t>Mine Safety Disclosures</w:t>
            </w:r>
          </w:p>
        </w:tc>
        <w:tc>
          <w:tcPr>
            <w:tcW w:w="1500" w:type="dxa"/>
            <w:vAlign w:val="bottom"/>
            <w:gridSpan w:val="2"/>
          </w:tcPr>
          <w:p>
            <w:pPr>
              <w:jc w:val="center"/>
              <w:ind w:left="1157"/>
              <w:spacing w:after="0" w:line="207" w:lineRule="exact"/>
              <w:rPr>
                <w:sz w:val="20"/>
                <w:szCs w:val="20"/>
                <w:color w:val="auto"/>
              </w:rPr>
            </w:pPr>
            <w:r>
              <w:rPr>
                <w:rFonts w:ascii="Arial" w:cs="Arial" w:eastAsia="Arial" w:hAnsi="Arial"/>
                <w:sz w:val="21"/>
                <w:szCs w:val="21"/>
                <w:color w:val="0000FF"/>
              </w:rPr>
              <w:t>28</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5.</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1600" w:type="dxa"/>
            <w:vAlign w:val="bottom"/>
            <w:tcBorders>
              <w:bottom w:val="single" w:sz="8" w:color="0000FF"/>
            </w:tcBorders>
            <w:gridSpan w:val="7"/>
            <w:shd w:val="clear" w:color="auto" w:fill="CCEEFF"/>
          </w:tcPr>
          <w:p>
            <w:pPr>
              <w:spacing w:after="0" w:line="207" w:lineRule="exact"/>
              <w:rPr>
                <w:sz w:val="20"/>
                <w:szCs w:val="20"/>
                <w:color w:val="auto"/>
              </w:rPr>
            </w:pPr>
            <w:r>
              <w:rPr>
                <w:rFonts w:ascii="Arial" w:cs="Arial" w:eastAsia="Arial" w:hAnsi="Arial"/>
                <w:sz w:val="21"/>
                <w:szCs w:val="21"/>
                <w:color w:val="0000FF"/>
                <w:w w:val="96"/>
              </w:rPr>
              <w:t>Other Information</w:t>
            </w:r>
          </w:p>
        </w:tc>
        <w:tc>
          <w:tcPr>
            <w:tcW w:w="6500" w:type="dxa"/>
            <w:vAlign w:val="bottom"/>
            <w:tcBorders>
              <w:bottom w:val="single" w:sz="8" w:color="CCEEFF"/>
            </w:tcBorders>
            <w:gridSpan w:val="15"/>
            <w:shd w:val="clear" w:color="auto" w:fill="CCEEFF"/>
          </w:tcPr>
          <w:p>
            <w:pPr>
              <w:spacing w:after="0"/>
              <w:rPr>
                <w:sz w:val="20"/>
                <w:szCs w:val="20"/>
                <w:color w:val="auto"/>
              </w:rPr>
            </w:pPr>
          </w:p>
        </w:tc>
        <w:tc>
          <w:tcPr>
            <w:tcW w:w="132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0000FF"/>
              <w:right w:val="single" w:sz="8" w:color="CCEEFF"/>
            </w:tcBorders>
            <w:shd w:val="clear" w:color="auto" w:fill="CCEEFF"/>
          </w:tcPr>
          <w:p>
            <w:pPr>
              <w:jc w:val="center"/>
              <w:spacing w:after="0" w:line="207" w:lineRule="exact"/>
              <w:rPr>
                <w:sz w:val="20"/>
                <w:szCs w:val="20"/>
                <w:color w:val="auto"/>
              </w:rPr>
            </w:pPr>
            <w:r>
              <w:rPr>
                <w:rFonts w:ascii="Arial" w:cs="Arial" w:eastAsia="Arial" w:hAnsi="Arial"/>
                <w:sz w:val="21"/>
                <w:szCs w:val="21"/>
                <w:color w:val="0000FF"/>
                <w:w w:val="76"/>
              </w:rPr>
              <w:t>28</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6.</w:t>
            </w:r>
          </w:p>
        </w:tc>
        <w:tc>
          <w:tcPr>
            <w:tcW w:w="8100" w:type="dxa"/>
            <w:vAlign w:val="bottom"/>
            <w:gridSpan w:val="22"/>
          </w:tcPr>
          <w:p>
            <w:pPr>
              <w:spacing w:after="0" w:line="207" w:lineRule="exact"/>
              <w:rPr>
                <w:sz w:val="20"/>
                <w:szCs w:val="20"/>
                <w:color w:val="auto"/>
              </w:rPr>
            </w:pPr>
            <w:r>
              <w:rPr>
                <w:rFonts w:ascii="Arial" w:cs="Arial" w:eastAsia="Arial" w:hAnsi="Arial"/>
                <w:sz w:val="21"/>
                <w:szCs w:val="21"/>
                <w:color w:val="0000FF"/>
              </w:rPr>
              <w:t>Exhibits</w:t>
            </w:r>
          </w:p>
        </w:tc>
        <w:tc>
          <w:tcPr>
            <w:tcW w:w="1500" w:type="dxa"/>
            <w:vAlign w:val="bottom"/>
            <w:gridSpan w:val="2"/>
          </w:tcPr>
          <w:p>
            <w:pPr>
              <w:jc w:val="center"/>
              <w:ind w:left="1157"/>
              <w:spacing w:after="0" w:line="207" w:lineRule="exact"/>
              <w:rPr>
                <w:sz w:val="20"/>
                <w:szCs w:val="20"/>
                <w:color w:val="auto"/>
              </w:rPr>
            </w:pPr>
            <w:r>
              <w:rPr>
                <w:rFonts w:ascii="Arial" w:cs="Arial" w:eastAsia="Arial" w:hAnsi="Arial"/>
                <w:sz w:val="21"/>
                <w:szCs w:val="21"/>
                <w:color w:val="0000FF"/>
              </w:rPr>
              <w:t>29</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100" w:type="dxa"/>
            <w:vAlign w:val="bottom"/>
            <w:gridSpan w:val="22"/>
            <w:shd w:val="clear" w:color="auto" w:fill="CCEEFF"/>
          </w:tcPr>
          <w:p>
            <w:pPr>
              <w:spacing w:after="0" w:line="207" w:lineRule="exact"/>
              <w:rPr>
                <w:sz w:val="20"/>
                <w:szCs w:val="20"/>
                <w:color w:val="auto"/>
              </w:rPr>
            </w:pPr>
            <w:r>
              <w:rPr>
                <w:rFonts w:ascii="Arial" w:cs="Arial" w:eastAsia="Arial" w:hAnsi="Arial"/>
                <w:sz w:val="21"/>
                <w:szCs w:val="21"/>
                <w:color w:val="0000FF"/>
              </w:rPr>
              <w:t>Signatures</w:t>
            </w:r>
          </w:p>
        </w:tc>
        <w:tc>
          <w:tcPr>
            <w:tcW w:w="1500" w:type="dxa"/>
            <w:vAlign w:val="bottom"/>
            <w:tcBorders>
              <w:right w:val="single" w:sz="8" w:color="CCEEFF"/>
            </w:tcBorders>
            <w:gridSpan w:val="2"/>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30</w:t>
            </w:r>
          </w:p>
        </w:tc>
        <w:tc>
          <w:tcPr>
            <w:tcW w:w="480" w:type="dxa"/>
            <w:vAlign w:val="bottom"/>
            <w:shd w:val="clear" w:color="auto" w:fill="CCEEFF"/>
          </w:tcPr>
          <w:p>
            <w:pPr>
              <w:spacing w:after="0"/>
              <w:rPr>
                <w:sz w:val="20"/>
                <w:szCs w:val="20"/>
                <w:color w:val="auto"/>
              </w:rPr>
            </w:pPr>
          </w:p>
        </w:tc>
      </w:tr>
      <w:tr>
        <w:trPr>
          <w:trHeight w:val="1772"/>
        </w:trPr>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1860" w:type="dxa"/>
            <w:vAlign w:val="bottom"/>
            <w:tcBorders>
              <w:top w:val="single" w:sz="8" w:color="CCEEFF"/>
              <w:bottom w:val="single" w:sz="8" w:color="9A9A9A"/>
            </w:tcBorders>
          </w:tcPr>
          <w:p>
            <w:pPr>
              <w:spacing w:after="0"/>
              <w:rPr>
                <w:sz w:val="24"/>
                <w:szCs w:val="24"/>
                <w:color w:val="auto"/>
              </w:rPr>
            </w:pPr>
          </w:p>
        </w:tc>
        <w:tc>
          <w:tcPr>
            <w:tcW w:w="13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1040" w:type="dxa"/>
            <w:vAlign w:val="bottom"/>
          </w:tcPr>
          <w:p>
            <w:pPr>
              <w:spacing w:after="0"/>
              <w:rPr>
                <w:sz w:val="20"/>
                <w:szCs w:val="20"/>
                <w:color w:val="auto"/>
              </w:rPr>
            </w:pPr>
            <w:r>
              <w:rPr>
                <w:rFonts w:ascii="Arial" w:cs="Arial" w:eastAsia="Arial" w:hAnsi="Arial"/>
                <w:sz w:val="24"/>
                <w:szCs w:val="24"/>
                <w:b w:val="1"/>
                <w:bCs w:val="1"/>
                <w:color w:val="14AA40"/>
              </w:rPr>
              <w:t>PART I</w:t>
            </w:r>
          </w:p>
        </w:tc>
        <w:tc>
          <w:tcPr>
            <w:tcW w:w="3520" w:type="dxa"/>
            <w:vAlign w:val="bottom"/>
          </w:tcPr>
          <w:p>
            <w:pPr>
              <w:spacing w:after="0"/>
              <w:rPr>
                <w:sz w:val="20"/>
                <w:szCs w:val="20"/>
                <w:color w:val="auto"/>
              </w:rPr>
            </w:pPr>
            <w:r>
              <w:rPr>
                <w:rFonts w:ascii="Arial" w:cs="Arial" w:eastAsia="Arial" w:hAnsi="Arial"/>
                <w:sz w:val="24"/>
                <w:szCs w:val="24"/>
                <w:b w:val="1"/>
                <w:bCs w:val="1"/>
                <w:color w:val="14AA40"/>
              </w:rPr>
              <w:t>FINANCIAL INFORMATION</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040" w:type="dxa"/>
            <w:vAlign w:val="bottom"/>
          </w:tcPr>
          <w:p>
            <w:pPr>
              <w:spacing w:after="0"/>
              <w:rPr>
                <w:sz w:val="20"/>
                <w:szCs w:val="20"/>
                <w:color w:val="auto"/>
              </w:rPr>
            </w:pPr>
            <w:r>
              <w:rPr>
                <w:rFonts w:ascii="Arial" w:cs="Arial" w:eastAsia="Arial" w:hAnsi="Arial"/>
                <w:sz w:val="24"/>
                <w:szCs w:val="24"/>
                <w:b w:val="1"/>
                <w:bCs w:val="1"/>
                <w:color w:val="14AA40"/>
              </w:rPr>
              <w:t>ITEM 1.</w:t>
            </w:r>
          </w:p>
        </w:tc>
        <w:tc>
          <w:tcPr>
            <w:tcW w:w="3520" w:type="dxa"/>
            <w:vAlign w:val="bottom"/>
          </w:tcPr>
          <w:p>
            <w:pPr>
              <w:ind w:left="80"/>
              <w:spacing w:after="0"/>
              <w:rPr>
                <w:sz w:val="20"/>
                <w:szCs w:val="20"/>
                <w:color w:val="auto"/>
              </w:rPr>
            </w:pPr>
            <w:r>
              <w:rPr>
                <w:rFonts w:ascii="Arial" w:cs="Arial" w:eastAsia="Arial" w:hAnsi="Arial"/>
                <w:sz w:val="24"/>
                <w:szCs w:val="24"/>
                <w:b w:val="1"/>
                <w:bCs w:val="1"/>
                <w:color w:val="14AA40"/>
              </w:rPr>
              <w:t>FINANCIAL STATEMENTS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260" w:type="dxa"/>
            <w:vAlign w:val="bottom"/>
            <w:tcBorders>
              <w:bottom w:val="single" w:sz="8" w:color="auto"/>
            </w:tcBorders>
            <w:gridSpan w:val="5"/>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6260" w:type="dxa"/>
            <w:vAlign w:val="bottom"/>
            <w:gridSpan w:val="5"/>
          </w:tcPr>
          <w:p>
            <w:pPr>
              <w:ind w:left="20"/>
              <w:spacing w:after="0" w:line="212" w:lineRule="exact"/>
              <w:rPr>
                <w:sz w:val="20"/>
                <w:szCs w:val="20"/>
                <w:color w:val="auto"/>
              </w:rPr>
            </w:pPr>
            <w:r>
              <w:rPr>
                <w:rFonts w:ascii="Arial" w:cs="Arial" w:eastAsia="Arial" w:hAnsi="Arial"/>
                <w:sz w:val="24"/>
                <w:szCs w:val="24"/>
                <w:b w:val="1"/>
                <w:bCs w:val="1"/>
                <w:color w:val="auto"/>
                <w:w w:val="99"/>
              </w:rPr>
              <w:t>CONSOLIDATED STATEMENTS OF OPERATIONS AND</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24"/>
                <w:szCs w:val="24"/>
                <w:b w:val="1"/>
                <w:bCs w:val="1"/>
                <w:color w:val="auto"/>
              </w:rPr>
              <w:t>COMPREHENSIVE INCOME:</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(unaudited, in 000s, except per share amounts)</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5"/>
          </w:tcPr>
          <w:p>
            <w:pPr>
              <w:ind w:left="240"/>
              <w:spacing w:after="0"/>
              <w:rPr>
                <w:sz w:val="20"/>
                <w:szCs w:val="20"/>
                <w:color w:val="auto"/>
              </w:rPr>
            </w:pPr>
            <w:r>
              <w:rPr>
                <w:rFonts w:ascii="Arial" w:cs="Arial" w:eastAsia="Arial" w:hAnsi="Arial"/>
                <w:sz w:val="15"/>
                <w:szCs w:val="15"/>
                <w:color w:val="auto"/>
              </w:rPr>
              <w:t>Three months ended March 31,</w:t>
            </w:r>
          </w:p>
        </w:tc>
        <w:tc>
          <w:tcPr>
            <w:tcW w:w="260" w:type="dxa"/>
            <w:vAlign w:val="bottom"/>
          </w:tcPr>
          <w:p>
            <w:pPr>
              <w:spacing w:after="0"/>
              <w:rPr>
                <w:sz w:val="17"/>
                <w:szCs w:val="17"/>
                <w:color w:val="auto"/>
              </w:rPr>
            </w:pPr>
          </w:p>
        </w:tc>
        <w:tc>
          <w:tcPr>
            <w:tcW w:w="3040" w:type="dxa"/>
            <w:vAlign w:val="bottom"/>
            <w:gridSpan w:val="4"/>
          </w:tcPr>
          <w:p>
            <w:pPr>
              <w:jc w:val="right"/>
              <w:ind w:right="523"/>
              <w:spacing w:after="0"/>
              <w:rPr>
                <w:sz w:val="20"/>
                <w:szCs w:val="20"/>
                <w:color w:val="auto"/>
              </w:rPr>
            </w:pPr>
            <w:r>
              <w:rPr>
                <w:rFonts w:ascii="Arial" w:cs="Arial" w:eastAsia="Arial" w:hAnsi="Arial"/>
                <w:sz w:val="15"/>
                <w:szCs w:val="15"/>
                <w:color w:val="auto"/>
              </w:rPr>
              <w:t>Nine months ended March 31,</w:t>
            </w:r>
          </w:p>
        </w:tc>
        <w:tc>
          <w:tcPr>
            <w:tcW w:w="0" w:type="dxa"/>
            <w:vAlign w:val="bottom"/>
          </w:tcPr>
          <w:p>
            <w:pPr>
              <w:spacing w:after="0"/>
              <w:rPr>
                <w:sz w:val="1"/>
                <w:szCs w:val="1"/>
                <w:color w:val="auto"/>
              </w:rPr>
            </w:pPr>
          </w:p>
        </w:tc>
      </w:tr>
      <w:tr>
        <w:trPr>
          <w:trHeight w:val="200"/>
        </w:trPr>
        <w:tc>
          <w:tcPr>
            <w:tcW w:w="10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REVENUES:</w:t>
            </w:r>
          </w:p>
        </w:tc>
        <w:tc>
          <w:tcPr>
            <w:tcW w:w="35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186"/>
        </w:trPr>
        <w:tc>
          <w:tcPr>
            <w:tcW w:w="1040" w:type="dxa"/>
            <w:vAlign w:val="bottom"/>
            <w:vMerge w:val="continue"/>
          </w:tcPr>
          <w:p>
            <w:pPr>
              <w:spacing w:after="0"/>
              <w:rPr>
                <w:sz w:val="16"/>
                <w:szCs w:val="16"/>
                <w:color w:val="auto"/>
              </w:rPr>
            </w:pPr>
          </w:p>
        </w:tc>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Service revenues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2,226,323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2,099,481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2,586,213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2,434,220</w:t>
            </w:r>
          </w:p>
        </w:tc>
        <w:tc>
          <w:tcPr>
            <w:tcW w:w="0" w:type="dxa"/>
            <w:vAlign w:val="bottom"/>
          </w:tcPr>
          <w:p>
            <w:pPr>
              <w:spacing w:after="0"/>
              <w:rPr>
                <w:sz w:val="1"/>
                <w:szCs w:val="1"/>
                <w:color w:val="auto"/>
              </w:rPr>
            </w:pPr>
          </w:p>
        </w:tc>
      </w:tr>
      <w:tr>
        <w:trPr>
          <w:trHeight w:val="206"/>
        </w:trPr>
        <w:tc>
          <w:tcPr>
            <w:tcW w:w="456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Royalty, product and other revenues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171,784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177,623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214,310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215,764</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2,398,107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2,277,104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2,800,523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2,649,984</w:t>
            </w:r>
          </w:p>
        </w:tc>
        <w:tc>
          <w:tcPr>
            <w:tcW w:w="0" w:type="dxa"/>
            <w:vAlign w:val="bottom"/>
          </w:tcPr>
          <w:p>
            <w:pPr>
              <w:spacing w:after="0"/>
              <w:rPr>
                <w:sz w:val="1"/>
                <w:szCs w:val="1"/>
                <w:color w:val="auto"/>
              </w:rPr>
            </w:pPr>
          </w:p>
        </w:tc>
      </w:tr>
      <w:tr>
        <w:trPr>
          <w:trHeight w:val="186"/>
        </w:trPr>
        <w:tc>
          <w:tcPr>
            <w:tcW w:w="456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EXPENSES: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Costs of revenues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1,031,951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969,392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1,645,887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1,553,182</w:t>
            </w:r>
          </w:p>
        </w:tc>
        <w:tc>
          <w:tcPr>
            <w:tcW w:w="0" w:type="dxa"/>
            <w:vAlign w:val="bottom"/>
          </w:tcPr>
          <w:p>
            <w:pPr>
              <w:spacing w:after="0"/>
              <w:rPr>
                <w:sz w:val="1"/>
                <w:szCs w:val="1"/>
                <w:color w:val="auto"/>
              </w:rPr>
            </w:pPr>
          </w:p>
        </w:tc>
      </w:tr>
      <w:tr>
        <w:trPr>
          <w:trHeight w:val="206"/>
        </w:trPr>
        <w:tc>
          <w:tcPr>
            <w:tcW w:w="456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329,332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329,399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623,722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640,111</w:t>
            </w:r>
          </w:p>
        </w:tc>
        <w:tc>
          <w:tcPr>
            <w:tcW w:w="0" w:type="dxa"/>
            <w:vAlign w:val="bottom"/>
          </w:tcPr>
          <w:p>
            <w:pPr>
              <w:spacing w:after="0"/>
              <w:rPr>
                <w:sz w:val="1"/>
                <w:szCs w:val="1"/>
                <w:color w:val="auto"/>
              </w:rPr>
            </w:pPr>
          </w:p>
        </w:tc>
      </w:tr>
      <w:tr>
        <w:trPr>
          <w:trHeight w:val="199"/>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1,361,283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1,298,791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2,269,609</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2,193,293</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3,941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4,554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15,077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19,215</w:t>
            </w:r>
          </w:p>
        </w:tc>
        <w:tc>
          <w:tcPr>
            <w:tcW w:w="0" w:type="dxa"/>
            <w:vAlign w:val="bottom"/>
          </w:tcPr>
          <w:p>
            <w:pPr>
              <w:spacing w:after="0"/>
              <w:rPr>
                <w:sz w:val="1"/>
                <w:szCs w:val="1"/>
                <w:color w:val="auto"/>
              </w:rPr>
            </w:pPr>
          </w:p>
        </w:tc>
      </w:tr>
      <w:tr>
        <w:trPr>
          <w:trHeight w:val="206"/>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Interest expense on borrowings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(24,307)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(24,686)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(65,087)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(62,285)</w:t>
            </w:r>
          </w:p>
        </w:tc>
        <w:tc>
          <w:tcPr>
            <w:tcW w:w="0" w:type="dxa"/>
            <w:vAlign w:val="bottom"/>
          </w:tcPr>
          <w:p>
            <w:pPr>
              <w:spacing w:after="0"/>
              <w:rPr>
                <w:sz w:val="1"/>
                <w:szCs w:val="1"/>
                <w:color w:val="auto"/>
              </w:rPr>
            </w:pPr>
          </w:p>
        </w:tc>
      </w:tr>
      <w:tr>
        <w:trPr>
          <w:trHeight w:val="199"/>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from continuing operations before income taxes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1,016,458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958,181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480,904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413,621</w:t>
            </w:r>
          </w:p>
        </w:tc>
        <w:tc>
          <w:tcPr>
            <w:tcW w:w="0" w:type="dxa"/>
            <w:vAlign w:val="bottom"/>
          </w:tcPr>
          <w:p>
            <w:pPr>
              <w:spacing w:after="0"/>
              <w:rPr>
                <w:sz w:val="1"/>
                <w:szCs w:val="1"/>
                <w:color w:val="auto"/>
              </w:rPr>
            </w:pPr>
          </w:p>
        </w:tc>
      </w:tr>
      <w:tr>
        <w:trPr>
          <w:trHeight w:val="206"/>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taxes</w:t>
            </w:r>
          </w:p>
        </w:tc>
        <w:tc>
          <w:tcPr>
            <w:tcW w:w="35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167,678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235,253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39,058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104,580</w:t>
            </w:r>
          </w:p>
        </w:tc>
        <w:tc>
          <w:tcPr>
            <w:tcW w:w="0" w:type="dxa"/>
            <w:vAlign w:val="bottom"/>
          </w:tcPr>
          <w:p>
            <w:pPr>
              <w:spacing w:after="0"/>
              <w:rPr>
                <w:sz w:val="1"/>
                <w:szCs w:val="1"/>
                <w:color w:val="auto"/>
              </w:rPr>
            </w:pPr>
          </w:p>
        </w:tc>
      </w:tr>
      <w:tr>
        <w:trPr>
          <w:trHeight w:val="199"/>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 from continuing operations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848,780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722,928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441,846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309,041</w:t>
            </w:r>
          </w:p>
        </w:tc>
        <w:tc>
          <w:tcPr>
            <w:tcW w:w="0" w:type="dxa"/>
            <w:vAlign w:val="bottom"/>
          </w:tcPr>
          <w:p>
            <w:pPr>
              <w:spacing w:after="0"/>
              <w:rPr>
                <w:sz w:val="1"/>
                <w:szCs w:val="1"/>
                <w:color w:val="auto"/>
              </w:rPr>
            </w:pPr>
          </w:p>
        </w:tc>
      </w:tr>
      <w:tr>
        <w:trPr>
          <w:trHeight w:val="155"/>
        </w:trPr>
        <w:tc>
          <w:tcPr>
            <w:tcW w:w="456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Net loss from discontinued operations, net of tax benefits of</w:t>
            </w:r>
          </w:p>
        </w:tc>
        <w:tc>
          <w:tcPr>
            <w:tcW w:w="3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(879)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(598)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(1,930)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(2,707)</w:t>
            </w:r>
          </w:p>
        </w:tc>
        <w:tc>
          <w:tcPr>
            <w:tcW w:w="0" w:type="dxa"/>
            <w:vAlign w:val="bottom"/>
          </w:tcPr>
          <w:p>
            <w:pPr>
              <w:spacing w:after="0"/>
              <w:rPr>
                <w:sz w:val="1"/>
                <w:szCs w:val="1"/>
                <w:color w:val="auto"/>
              </w:rPr>
            </w:pPr>
          </w:p>
        </w:tc>
      </w:tr>
      <w:tr>
        <w:trPr>
          <w:trHeight w:val="206"/>
        </w:trPr>
        <w:tc>
          <w:tcPr>
            <w:tcW w:w="4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$263, $180, $576, and $811</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35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847,901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722,330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439,916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306,334</w:t>
            </w:r>
          </w:p>
        </w:tc>
        <w:tc>
          <w:tcPr>
            <w:tcW w:w="0" w:type="dxa"/>
            <w:vAlign w:val="bottom"/>
          </w:tcPr>
          <w:p>
            <w:pPr>
              <w:spacing w:after="0"/>
              <w:rPr>
                <w:sz w:val="1"/>
                <w:szCs w:val="1"/>
                <w:color w:val="auto"/>
              </w:rPr>
            </w:pPr>
          </w:p>
        </w:tc>
      </w:tr>
      <w:tr>
        <w:trPr>
          <w:trHeight w:val="186"/>
        </w:trPr>
        <w:tc>
          <w:tcPr>
            <w:tcW w:w="4560" w:type="dxa"/>
            <w:vAlign w:val="bottom"/>
            <w:gridSpan w:val="2"/>
          </w:tcPr>
          <w:p>
            <w:pPr>
              <w:ind w:left="20"/>
              <w:spacing w:after="0"/>
              <w:rPr>
                <w:sz w:val="20"/>
                <w:szCs w:val="20"/>
                <w:color w:val="auto"/>
              </w:rPr>
            </w:pPr>
            <w:r>
              <w:rPr>
                <w:rFonts w:ascii="Arial" w:cs="Arial" w:eastAsia="Arial" w:hAnsi="Arial"/>
                <w:sz w:val="15"/>
                <w:szCs w:val="15"/>
                <w:b w:val="1"/>
                <w:bCs w:val="1"/>
                <w:color w:val="auto"/>
              </w:rPr>
              <w:t>BASIC EARNINGS PER SHARE:</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Continuing operations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6.66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3.43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206"/>
        </w:trPr>
        <w:tc>
          <w:tcPr>
            <w:tcW w:w="4560" w:type="dxa"/>
            <w:vAlign w:val="bottom"/>
            <w:gridSpan w:val="2"/>
          </w:tcPr>
          <w:p>
            <w:pPr>
              <w:ind w:left="120"/>
              <w:spacing w:after="0"/>
              <w:rPr>
                <w:sz w:val="20"/>
                <w:szCs w:val="20"/>
                <w:color w:val="auto"/>
              </w:rPr>
            </w:pPr>
            <w:r>
              <w:rPr>
                <w:rFonts w:ascii="Arial" w:cs="Arial" w:eastAsia="Arial" w:hAnsi="Arial"/>
                <w:sz w:val="15"/>
                <w:szCs w:val="15"/>
                <w:color w:val="auto"/>
              </w:rPr>
              <w:t>Discontinued operations</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(0.01)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(0.02)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199"/>
        </w:trPr>
        <w:tc>
          <w:tcPr>
            <w:tcW w:w="10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Consolidated</w:t>
            </w:r>
          </w:p>
        </w:tc>
        <w:tc>
          <w:tcPr>
            <w:tcW w:w="35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6.66</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5.37</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186"/>
        </w:trPr>
        <w:tc>
          <w:tcPr>
            <w:tcW w:w="4560" w:type="dxa"/>
            <w:vAlign w:val="bottom"/>
            <w:gridSpan w:val="2"/>
          </w:tcPr>
          <w:p>
            <w:pPr>
              <w:ind w:left="20"/>
              <w:spacing w:after="0"/>
              <w:rPr>
                <w:sz w:val="20"/>
                <w:szCs w:val="20"/>
                <w:color w:val="auto"/>
              </w:rPr>
            </w:pPr>
            <w:r>
              <w:rPr>
                <w:rFonts w:ascii="Arial" w:cs="Arial" w:eastAsia="Arial" w:hAnsi="Arial"/>
                <w:sz w:val="15"/>
                <w:szCs w:val="15"/>
                <w:b w:val="1"/>
                <w:bCs w:val="1"/>
                <w:color w:val="auto"/>
              </w:rPr>
              <w:t>DILUTED EARNINGS PER SHARE:</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6.61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3.40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06"/>
        </w:trPr>
        <w:tc>
          <w:tcPr>
            <w:tcW w:w="4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Discontinued operations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35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6.60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5.31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3.38</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199"/>
        </w:trPr>
        <w:tc>
          <w:tcPr>
            <w:tcW w:w="4560" w:type="dxa"/>
            <w:vAlign w:val="bottom"/>
            <w:gridSpan w:val="2"/>
          </w:tcPr>
          <w:p>
            <w:pPr>
              <w:ind w:left="20"/>
              <w:spacing w:after="0"/>
              <w:rPr>
                <w:sz w:val="20"/>
                <w:szCs w:val="20"/>
                <w:color w:val="auto"/>
              </w:rPr>
            </w:pPr>
            <w:r>
              <w:rPr>
                <w:rFonts w:ascii="Arial" w:cs="Arial" w:eastAsia="Arial" w:hAnsi="Arial"/>
                <w:sz w:val="15"/>
                <w:szCs w:val="15"/>
                <w:b w:val="1"/>
                <w:bCs w:val="1"/>
                <w:color w:val="auto"/>
              </w:rPr>
              <w:t>DIVIDENDS DECLARED PER SHARE</w:t>
            </w:r>
          </w:p>
        </w:tc>
        <w:tc>
          <w:tcPr>
            <w:tcW w:w="34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0.42</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0.375</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1.26</w:t>
            </w:r>
          </w:p>
        </w:tc>
        <w:tc>
          <w:tcPr>
            <w:tcW w:w="1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40" w:type="dxa"/>
            <w:vAlign w:val="bottom"/>
          </w:tcPr>
          <w:p>
            <w:pPr>
              <w:ind w:left="120"/>
              <w:spacing w:after="0"/>
              <w:rPr>
                <w:sz w:val="20"/>
                <w:szCs w:val="20"/>
                <w:color w:val="auto"/>
              </w:rPr>
            </w:pPr>
            <w:r>
              <w:rPr>
                <w:rFonts w:ascii="Arial" w:cs="Arial" w:eastAsia="Arial" w:hAnsi="Arial"/>
                <w:sz w:val="15"/>
                <w:szCs w:val="15"/>
                <w:color w:val="auto"/>
              </w:rPr>
              <w:t>Net income</w:t>
            </w:r>
          </w:p>
        </w:tc>
        <w:tc>
          <w:tcPr>
            <w:tcW w:w="352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847,901</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722,330</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439,916</w:t>
            </w:r>
          </w:p>
        </w:tc>
        <w:tc>
          <w:tcPr>
            <w:tcW w:w="1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306,334</w:t>
            </w:r>
          </w:p>
        </w:tc>
        <w:tc>
          <w:tcPr>
            <w:tcW w:w="0" w:type="dxa"/>
            <w:vAlign w:val="bottom"/>
          </w:tcPr>
          <w:p>
            <w:pPr>
              <w:spacing w:after="0"/>
              <w:rPr>
                <w:sz w:val="1"/>
                <w:szCs w:val="1"/>
                <w:color w:val="auto"/>
              </w:rPr>
            </w:pPr>
          </w:p>
        </w:tc>
      </w:tr>
      <w:tr>
        <w:trPr>
          <w:trHeight w:val="206"/>
        </w:trPr>
        <w:tc>
          <w:tcPr>
            <w:tcW w:w="45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Change in foreign currency translation adjustments</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(4,008)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445</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(7,591)</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(22,472)</w:t>
            </w:r>
          </w:p>
        </w:tc>
        <w:tc>
          <w:tcPr>
            <w:tcW w:w="0" w:type="dxa"/>
            <w:vAlign w:val="bottom"/>
          </w:tcPr>
          <w:p>
            <w:pPr>
              <w:spacing w:after="0"/>
              <w:rPr>
                <w:sz w:val="1"/>
                <w:szCs w:val="1"/>
                <w:color w:val="auto"/>
              </w:rPr>
            </w:pPr>
          </w:p>
        </w:tc>
      </w:tr>
      <w:tr>
        <w:trPr>
          <w:trHeight w:val="199"/>
        </w:trPr>
        <w:tc>
          <w:tcPr>
            <w:tcW w:w="456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comprehensive income (loss)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(4,008)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445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(7,591)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(22,472)</w:t>
            </w:r>
          </w:p>
        </w:tc>
        <w:tc>
          <w:tcPr>
            <w:tcW w:w="0" w:type="dxa"/>
            <w:vAlign w:val="bottom"/>
          </w:tcPr>
          <w:p>
            <w:pPr>
              <w:spacing w:after="0"/>
              <w:rPr>
                <w:sz w:val="1"/>
                <w:szCs w:val="1"/>
                <w:color w:val="auto"/>
              </w:rPr>
            </w:pPr>
          </w:p>
        </w:tc>
      </w:tr>
      <w:tr>
        <w:trPr>
          <w:trHeight w:val="199"/>
        </w:trPr>
        <w:tc>
          <w:tcPr>
            <w:tcW w:w="45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Comprehensive income</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843,893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722,775</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432,325</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622935</wp:posOffset>
            </wp:positionV>
            <wp:extent cx="220980" cy="122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sz w:val="20"/>
          <w:szCs w:val="20"/>
          <w:color w:val="auto"/>
        </w:rPr>
        <w:tab/>
      </w:r>
      <w:r>
        <w:rPr>
          <w:rFonts w:ascii="Arial" w:cs="Arial" w:eastAsia="Arial" w:hAnsi="Arial"/>
          <w:sz w:val="10"/>
          <w:szCs w:val="10"/>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72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24"/>
                <w:szCs w:val="24"/>
                <w:b w:val="1"/>
                <w:bCs w:val="1"/>
                <w:color w:val="auto"/>
              </w:rPr>
              <w:t>CONSOLIDATED BALANCE SHEETS</w:t>
            </w:r>
          </w:p>
        </w:tc>
        <w:tc>
          <w:tcPr>
            <w:tcW w:w="4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(unaudited, in 000s, except</w:t>
            </w:r>
          </w:p>
        </w:tc>
        <w:tc>
          <w:tcPr>
            <w:tcW w:w="0" w:type="dxa"/>
            <w:vAlign w:val="bottom"/>
          </w:tcPr>
          <w:p>
            <w:pPr>
              <w:spacing w:after="0"/>
              <w:rPr>
                <w:sz w:val="1"/>
                <w:szCs w:val="1"/>
                <w:color w:val="auto"/>
              </w:rPr>
            </w:pPr>
          </w:p>
        </w:tc>
      </w:tr>
      <w:tr>
        <w:trPr>
          <w:trHeight w:val="180"/>
        </w:trPr>
        <w:tc>
          <w:tcPr>
            <w:tcW w:w="7260" w:type="dxa"/>
            <w:vAlign w:val="bottom"/>
            <w:tcBorders>
              <w:bottom w:val="single" w:sz="8" w:color="auto"/>
            </w:tcBorders>
            <w:gridSpan w:val="2"/>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199"/>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As of</w:t>
            </w:r>
          </w:p>
        </w:tc>
        <w:tc>
          <w:tcPr>
            <w:tcW w:w="460" w:type="dxa"/>
            <w:vAlign w:val="bottom"/>
          </w:tcPr>
          <w:p>
            <w:pPr>
              <w:spacing w:after="0"/>
              <w:rPr>
                <w:sz w:val="17"/>
                <w:szCs w:val="17"/>
                <w:color w:val="auto"/>
              </w:rPr>
            </w:pPr>
          </w:p>
        </w:tc>
        <w:tc>
          <w:tcPr>
            <w:tcW w:w="1580" w:type="dxa"/>
            <w:vAlign w:val="bottom"/>
            <w:gridSpan w:val="2"/>
          </w:tcPr>
          <w:p>
            <w:pPr>
              <w:ind w:left="360"/>
              <w:spacing w:after="0"/>
              <w:rPr>
                <w:sz w:val="20"/>
                <w:szCs w:val="20"/>
                <w:color w:val="auto"/>
              </w:rPr>
            </w:pPr>
            <w:r>
              <w:rPr>
                <w:rFonts w:ascii="Arial" w:cs="Arial" w:eastAsia="Arial" w:hAnsi="Arial"/>
                <w:sz w:val="15"/>
                <w:szCs w:val="15"/>
                <w:b w:val="1"/>
                <w:bCs w:val="1"/>
                <w:color w:val="auto"/>
              </w:rPr>
              <w:t>March 31, 2026</w:t>
            </w: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June 30, 2025</w:t>
            </w:r>
          </w:p>
        </w:tc>
        <w:tc>
          <w:tcPr>
            <w:tcW w:w="0" w:type="dxa"/>
            <w:vAlign w:val="bottom"/>
          </w:tcPr>
          <w:p>
            <w:pPr>
              <w:spacing w:after="0"/>
              <w:rPr>
                <w:sz w:val="1"/>
                <w:szCs w:val="1"/>
                <w:color w:val="auto"/>
              </w:rPr>
            </w:pPr>
          </w:p>
        </w:tc>
      </w:tr>
      <w:tr>
        <w:trPr>
          <w:trHeight w:val="199"/>
        </w:trPr>
        <w:tc>
          <w:tcPr>
            <w:tcW w:w="7180" w:type="dxa"/>
            <w:vAlign w:val="bottom"/>
            <w:tcBorders>
              <w:top w:val="single" w:sz="8" w:color="auto"/>
            </w:tcBorders>
          </w:tcPr>
          <w:p>
            <w:pPr>
              <w:ind w:left="3280"/>
              <w:spacing w:after="0"/>
              <w:rPr>
                <w:sz w:val="20"/>
                <w:szCs w:val="20"/>
                <w:color w:val="auto"/>
              </w:rPr>
            </w:pPr>
            <w:r>
              <w:rPr>
                <w:rFonts w:ascii="Arial" w:cs="Arial" w:eastAsia="Arial" w:hAnsi="Arial"/>
                <w:sz w:val="15"/>
                <w:szCs w:val="15"/>
                <w:b w:val="1"/>
                <w:bCs w:val="1"/>
                <w:color w:val="auto"/>
              </w:rPr>
              <w:t>ASSETS</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867,008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983,277</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 - restricted</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19,737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19,862</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Receivables, less allowance for credit losses of $53,638 and $55,775</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297,636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63,621</w:t>
            </w:r>
          </w:p>
        </w:tc>
        <w:tc>
          <w:tcPr>
            <w:tcW w:w="0" w:type="dxa"/>
            <w:vAlign w:val="bottom"/>
          </w:tcPr>
          <w:p>
            <w:pPr>
              <w:spacing w:after="0"/>
              <w:rPr>
                <w:sz w:val="1"/>
                <w:szCs w:val="1"/>
                <w:color w:val="auto"/>
              </w:rPr>
            </w:pPr>
          </w:p>
        </w:tc>
      </w:tr>
      <w:tr>
        <w:trPr>
          <w:trHeight w:val="206"/>
        </w:trPr>
        <w:tc>
          <w:tcPr>
            <w:tcW w:w="7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104,102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95,788</w:t>
            </w:r>
          </w:p>
        </w:tc>
        <w:tc>
          <w:tcPr>
            <w:tcW w:w="0" w:type="dxa"/>
            <w:vAlign w:val="bottom"/>
          </w:tcPr>
          <w:p>
            <w:pPr>
              <w:spacing w:after="0"/>
              <w:rPr>
                <w:sz w:val="1"/>
                <w:szCs w:val="1"/>
                <w:color w:val="auto"/>
              </w:rPr>
            </w:pPr>
          </w:p>
        </w:tc>
      </w:tr>
      <w:tr>
        <w:trPr>
          <w:trHeight w:val="199"/>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current assets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1,288,483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1,162,548</w:t>
            </w:r>
          </w:p>
        </w:tc>
        <w:tc>
          <w:tcPr>
            <w:tcW w:w="0" w:type="dxa"/>
            <w:vAlign w:val="bottom"/>
          </w:tcPr>
          <w:p>
            <w:pPr>
              <w:spacing w:after="0"/>
              <w:rPr>
                <w:sz w:val="1"/>
                <w:szCs w:val="1"/>
                <w:color w:val="auto"/>
              </w:rPr>
            </w:pPr>
          </w:p>
        </w:tc>
      </w:tr>
      <w:tr>
        <w:trPr>
          <w:trHeight w:val="155"/>
        </w:trPr>
        <w:tc>
          <w:tcPr>
            <w:tcW w:w="7260" w:type="dxa"/>
            <w:vAlign w:val="bottom"/>
            <w:gridSpan w:val="2"/>
          </w:tcPr>
          <w:p>
            <w:pPr>
              <w:ind w:left="100"/>
              <w:spacing w:after="0" w:line="156" w:lineRule="exact"/>
              <w:rPr>
                <w:sz w:val="20"/>
                <w:szCs w:val="20"/>
                <w:color w:val="auto"/>
              </w:rPr>
            </w:pPr>
            <w:r>
              <w:rPr>
                <w:rFonts w:ascii="Arial" w:cs="Arial" w:eastAsia="Arial" w:hAnsi="Arial"/>
                <w:sz w:val="15"/>
                <w:szCs w:val="15"/>
                <w:color w:val="auto"/>
              </w:rPr>
              <w:t>Property and equipment, at cost, less accumulated depreciation and amortization of $880,616 and</w:t>
            </w:r>
          </w:p>
        </w:tc>
        <w:tc>
          <w:tcPr>
            <w:tcW w:w="46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147,694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5"/>
                <w:szCs w:val="15"/>
                <w:color w:val="auto"/>
              </w:rPr>
              <w:t>135,068</w:t>
            </w:r>
          </w:p>
        </w:tc>
        <w:tc>
          <w:tcPr>
            <w:tcW w:w="0" w:type="dxa"/>
            <w:vAlign w:val="bottom"/>
          </w:tcPr>
          <w:p>
            <w:pPr>
              <w:spacing w:after="0"/>
              <w:rPr>
                <w:sz w:val="1"/>
                <w:szCs w:val="1"/>
                <w:color w:val="auto"/>
              </w:rPr>
            </w:pPr>
          </w:p>
        </w:tc>
      </w:tr>
      <w:tr>
        <w:trPr>
          <w:trHeight w:val="206"/>
        </w:trPr>
        <w:tc>
          <w:tcPr>
            <w:tcW w:w="7180" w:type="dxa"/>
            <w:vAlign w:val="bottom"/>
          </w:tcPr>
          <w:p>
            <w:pPr>
              <w:ind w:left="260"/>
              <w:spacing w:after="0"/>
              <w:rPr>
                <w:sz w:val="20"/>
                <w:szCs w:val="20"/>
                <w:color w:val="auto"/>
              </w:rPr>
            </w:pPr>
            <w:r>
              <w:rPr>
                <w:rFonts w:ascii="Arial" w:cs="Arial" w:eastAsia="Arial" w:hAnsi="Arial"/>
                <w:sz w:val="15"/>
                <w:szCs w:val="15"/>
                <w:color w:val="auto"/>
              </w:rPr>
              <w:t>$828,744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right of use assets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522,885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521,215</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Intangible assets, net</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275,966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259,412</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815,620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802,053</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Deferred tax assets and income taxes receivable</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270,090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317,691</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noncurrent assets</w:t>
            </w:r>
          </w:p>
        </w:tc>
        <w:tc>
          <w:tcPr>
            <w:tcW w:w="4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70,980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65,911</w:t>
            </w:r>
          </w:p>
        </w:tc>
        <w:tc>
          <w:tcPr>
            <w:tcW w:w="0" w:type="dxa"/>
            <w:vAlign w:val="bottom"/>
          </w:tcPr>
          <w:p>
            <w:pPr>
              <w:spacing w:after="0"/>
              <w:rPr>
                <w:sz w:val="1"/>
                <w:szCs w:val="1"/>
                <w:color w:val="auto"/>
              </w:rPr>
            </w:pPr>
          </w:p>
        </w:tc>
      </w:tr>
      <w:tr>
        <w:trPr>
          <w:trHeight w:val="199"/>
        </w:trPr>
        <w:tc>
          <w:tcPr>
            <w:tcW w:w="726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Total assets</w:t>
            </w:r>
          </w:p>
        </w:tc>
        <w:tc>
          <w:tcPr>
            <w:tcW w:w="4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3,391,718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3,263,898</w:t>
            </w:r>
          </w:p>
        </w:tc>
        <w:tc>
          <w:tcPr>
            <w:tcW w:w="0" w:type="dxa"/>
            <w:vAlign w:val="bottom"/>
          </w:tcPr>
          <w:p>
            <w:pPr>
              <w:spacing w:after="0"/>
              <w:rPr>
                <w:sz w:val="1"/>
                <w:szCs w:val="1"/>
                <w:color w:val="auto"/>
              </w:rPr>
            </w:pPr>
          </w:p>
        </w:tc>
      </w:tr>
      <w:tr>
        <w:trPr>
          <w:trHeight w:val="186"/>
        </w:trPr>
        <w:tc>
          <w:tcPr>
            <w:tcW w:w="7260" w:type="dxa"/>
            <w:vAlign w:val="bottom"/>
            <w:gridSpan w:val="2"/>
            <w:shd w:val="clear" w:color="auto" w:fill="CCEEFF"/>
          </w:tcPr>
          <w:p>
            <w:pPr>
              <w:ind w:left="1960"/>
              <w:spacing w:after="0"/>
              <w:rPr>
                <w:sz w:val="20"/>
                <w:szCs w:val="20"/>
                <w:color w:val="auto"/>
              </w:rPr>
            </w:pPr>
            <w:r>
              <w:rPr>
                <w:rFonts w:ascii="Arial" w:cs="Arial" w:eastAsia="Arial" w:hAnsi="Arial"/>
                <w:sz w:val="15"/>
                <w:szCs w:val="15"/>
                <w:b w:val="1"/>
                <w:bCs w:val="1"/>
                <w:color w:val="auto"/>
              </w:rPr>
              <w:t>LIABILITIES AND STOCKHOLDERS' EQUITY</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ind w:left="20"/>
              <w:spacing w:after="0"/>
              <w:rPr>
                <w:sz w:val="20"/>
                <w:szCs w:val="20"/>
                <w:color w:val="auto"/>
              </w:rPr>
            </w:pPr>
            <w:r>
              <w:rPr>
                <w:rFonts w:ascii="Arial" w:cs="Arial" w:eastAsia="Arial" w:hAnsi="Arial"/>
                <w:sz w:val="15"/>
                <w:szCs w:val="15"/>
                <w:b w:val="1"/>
                <w:bCs w:val="1"/>
                <w:color w:val="auto"/>
              </w:rPr>
              <w:t>LIABILITIES:</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Accounts payable and accrued expenses</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303,595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144,046</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Accrued salaries, wages and payroll taxes</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299,695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107,375</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income taxes and reserves for uncertain tax positions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262,533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296,244</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Current portion of long-term debt</w:t>
            </w:r>
          </w:p>
        </w:tc>
        <w:tc>
          <w:tcPr>
            <w:tcW w:w="46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349,893</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liabilities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209,269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209,203</w:t>
            </w:r>
          </w:p>
        </w:tc>
        <w:tc>
          <w:tcPr>
            <w:tcW w:w="0" w:type="dxa"/>
            <w:vAlign w:val="bottom"/>
          </w:tcPr>
          <w:p>
            <w:pPr>
              <w:spacing w:after="0"/>
              <w:rPr>
                <w:sz w:val="1"/>
                <w:szCs w:val="1"/>
                <w:color w:val="auto"/>
              </w:rPr>
            </w:pPr>
          </w:p>
        </w:tc>
      </w:tr>
      <w:tr>
        <w:trPr>
          <w:trHeight w:val="206"/>
        </w:trPr>
        <w:tc>
          <w:tcPr>
            <w:tcW w:w="7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Deferred revenue and other current liabilities</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219,321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191,849</w:t>
            </w:r>
          </w:p>
        </w:tc>
        <w:tc>
          <w:tcPr>
            <w:tcW w:w="0" w:type="dxa"/>
            <w:vAlign w:val="bottom"/>
          </w:tcPr>
          <w:p>
            <w:pPr>
              <w:spacing w:after="0"/>
              <w:rPr>
                <w:sz w:val="1"/>
                <w:szCs w:val="1"/>
                <w:color w:val="auto"/>
              </w:rPr>
            </w:pPr>
          </w:p>
        </w:tc>
      </w:tr>
      <w:tr>
        <w:trPr>
          <w:trHeight w:val="199"/>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current liabilities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1,294,413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1,298,610</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Long-term debt</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1,490,933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1,143,305</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187,707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306,134</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325,561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322,847</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revenue and other noncurrent liabilities</w:t>
            </w:r>
          </w:p>
        </w:tc>
        <w:tc>
          <w:tcPr>
            <w:tcW w:w="4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117,476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104,106</w:t>
            </w:r>
          </w:p>
        </w:tc>
        <w:tc>
          <w:tcPr>
            <w:tcW w:w="0" w:type="dxa"/>
            <w:vAlign w:val="bottom"/>
          </w:tcPr>
          <w:p>
            <w:pPr>
              <w:spacing w:after="0"/>
              <w:rPr>
                <w:sz w:val="1"/>
                <w:szCs w:val="1"/>
                <w:color w:val="auto"/>
              </w:rPr>
            </w:pPr>
          </w:p>
        </w:tc>
      </w:tr>
      <w:tr>
        <w:trPr>
          <w:trHeight w:val="199"/>
        </w:trPr>
        <w:tc>
          <w:tcPr>
            <w:tcW w:w="726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Total liabilities</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3,416,090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3,175,002</w:t>
            </w:r>
          </w:p>
        </w:tc>
        <w:tc>
          <w:tcPr>
            <w:tcW w:w="0" w:type="dxa"/>
            <w:vAlign w:val="bottom"/>
          </w:tcPr>
          <w:p>
            <w:pPr>
              <w:spacing w:after="0"/>
              <w:rPr>
                <w:sz w:val="1"/>
                <w:szCs w:val="1"/>
                <w:color w:val="auto"/>
              </w:rPr>
            </w:pPr>
          </w:p>
        </w:tc>
      </w:tr>
      <w:tr>
        <w:trPr>
          <w:trHeight w:val="18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260" w:type="dxa"/>
            <w:vAlign w:val="bottom"/>
            <w:gridSpan w:val="2"/>
            <w:shd w:val="clear" w:color="auto" w:fill="CCEEFF"/>
          </w:tcPr>
          <w:p>
            <w:pPr>
              <w:ind w:left="100"/>
              <w:spacing w:after="0" w:line="156" w:lineRule="exact"/>
              <w:rPr>
                <w:sz w:val="20"/>
                <w:szCs w:val="20"/>
                <w:color w:val="auto"/>
              </w:rPr>
            </w:pPr>
            <w:r>
              <w:rPr>
                <w:rFonts w:ascii="Arial" w:cs="Arial" w:eastAsia="Arial" w:hAnsi="Arial"/>
                <w:sz w:val="15"/>
                <w:szCs w:val="15"/>
                <w:color w:val="auto"/>
              </w:rPr>
              <w:t>Common stock, no par, stated value $0.01 per share, 800,000,000 shares authorized, shares issued of</w:t>
            </w:r>
          </w:p>
        </w:tc>
        <w:tc>
          <w:tcPr>
            <w:tcW w:w="4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1,565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1,644</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156,506,438 and 164,367,434</w:t>
            </w:r>
          </w:p>
        </w:tc>
        <w:tc>
          <w:tcPr>
            <w:tcW w:w="46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ind w:left="100"/>
              <w:spacing w:after="0"/>
              <w:rPr>
                <w:sz w:val="20"/>
                <w:szCs w:val="20"/>
                <w:color w:val="auto"/>
              </w:rPr>
            </w:pPr>
            <w:r>
              <w:rPr>
                <w:rFonts w:ascii="Arial" w:cs="Arial" w:eastAsia="Arial" w:hAnsi="Arial"/>
                <w:sz w:val="15"/>
                <w:szCs w:val="15"/>
                <w:color w:val="auto"/>
              </w:rPr>
              <w:t>Additional paid-in capital</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776,872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766,998</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Accumulated other comprehensive loss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(55,346)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(47,755)</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00"/>
              <w:spacing w:after="0"/>
              <w:rPr>
                <w:sz w:val="20"/>
                <w:szCs w:val="20"/>
                <w:color w:val="auto"/>
              </w:rPr>
            </w:pPr>
            <w:r>
              <w:rPr>
                <w:rFonts w:ascii="Arial" w:cs="Arial" w:eastAsia="Arial" w:hAnsi="Arial"/>
                <w:sz w:val="15"/>
                <w:szCs w:val="15"/>
                <w:color w:val="auto"/>
              </w:rPr>
              <w:t>Retained earnings (deficit)</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(110,471)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12,061</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Less treasury shares, at cost, of 29,746,662 and 30,420,033</w:t>
            </w:r>
          </w:p>
        </w:tc>
        <w:tc>
          <w:tcPr>
            <w:tcW w:w="4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(636,992)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(644,052)</w:t>
            </w:r>
          </w:p>
        </w:tc>
        <w:tc>
          <w:tcPr>
            <w:tcW w:w="0" w:type="dxa"/>
            <w:vAlign w:val="bottom"/>
          </w:tcPr>
          <w:p>
            <w:pPr>
              <w:spacing w:after="0"/>
              <w:rPr>
                <w:sz w:val="1"/>
                <w:szCs w:val="1"/>
                <w:color w:val="auto"/>
              </w:rPr>
            </w:pPr>
          </w:p>
        </w:tc>
      </w:tr>
      <w:tr>
        <w:trPr>
          <w:trHeight w:val="199"/>
        </w:trPr>
        <w:tc>
          <w:tcPr>
            <w:tcW w:w="726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Total stockholders' equity (deficiency)</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(24,372)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88,896</w:t>
            </w:r>
          </w:p>
        </w:tc>
        <w:tc>
          <w:tcPr>
            <w:tcW w:w="0" w:type="dxa"/>
            <w:vAlign w:val="bottom"/>
          </w:tcPr>
          <w:p>
            <w:pPr>
              <w:spacing w:after="0"/>
              <w:rPr>
                <w:sz w:val="1"/>
                <w:szCs w:val="1"/>
                <w:color w:val="auto"/>
              </w:rPr>
            </w:pPr>
          </w:p>
        </w:tc>
      </w:tr>
      <w:tr>
        <w:trPr>
          <w:trHeight w:val="199"/>
        </w:trPr>
        <w:tc>
          <w:tcPr>
            <w:tcW w:w="726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Total liabilities and stockholders' equity</w:t>
            </w:r>
          </w:p>
        </w:tc>
        <w:tc>
          <w:tcPr>
            <w:tcW w:w="46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3,391,718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3,263,898</w:t>
            </w:r>
          </w:p>
        </w:tc>
        <w:tc>
          <w:tcPr>
            <w:tcW w:w="0" w:type="dxa"/>
            <w:vAlign w:val="bottom"/>
          </w:tcPr>
          <w:p>
            <w:pPr>
              <w:spacing w:after="0"/>
              <w:rPr>
                <w:sz w:val="1"/>
                <w:szCs w:val="1"/>
                <w:color w:val="auto"/>
              </w:rPr>
            </w:pPr>
          </w:p>
        </w:tc>
      </w:tr>
      <w:tr>
        <w:trPr>
          <w:trHeight w:val="32"/>
        </w:trPr>
        <w:tc>
          <w:tcPr>
            <w:tcW w:w="7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614680</wp:posOffset>
            </wp:positionV>
            <wp:extent cx="229235" cy="122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23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0" w:hanging="235"/>
        <w:spacing w:after="0"/>
        <w:tabs>
          <w:tab w:leader="none" w:pos="38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 w:name="page5"/>
    <w:bookmarkEnd w:id="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2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4"/>
                <w:szCs w:val="24"/>
                <w:b w:val="1"/>
                <w:bCs w:val="1"/>
                <w:color w:val="auto"/>
              </w:rPr>
              <w:t>CONSOLIDATED STATEMENTS OF CASH FLOWS</w:t>
            </w:r>
          </w:p>
        </w:tc>
        <w:tc>
          <w:tcPr>
            <w:tcW w:w="6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(unaudited, in 000s)</w:t>
            </w:r>
          </w:p>
        </w:tc>
      </w:tr>
      <w:tr>
        <w:trPr>
          <w:trHeight w:val="199"/>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Nine months ended March 31,</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2025</w:t>
            </w:r>
          </w:p>
        </w:tc>
      </w:tr>
      <w:tr>
        <w:trPr>
          <w:trHeight w:val="199"/>
        </w:trPr>
        <w:tc>
          <w:tcPr>
            <w:tcW w:w="720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439,916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306,334</w:t>
            </w:r>
          </w:p>
        </w:tc>
      </w:tr>
      <w:tr>
        <w:trPr>
          <w:trHeight w:val="205"/>
        </w:trPr>
        <w:tc>
          <w:tcPr>
            <w:tcW w:w="7280" w:type="dxa"/>
            <w:vAlign w:val="bottom"/>
            <w:gridSpan w:val="2"/>
          </w:tcPr>
          <w:p>
            <w:pPr>
              <w:ind w:left="26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7"/>
        </w:trPr>
        <w:tc>
          <w:tcPr>
            <w:tcW w:w="72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90,442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87,247</w:t>
            </w:r>
          </w:p>
        </w:tc>
      </w:tr>
      <w:tr>
        <w:trPr>
          <w:trHeight w:val="206"/>
        </w:trPr>
        <w:tc>
          <w:tcPr>
            <w:tcW w:w="7280" w:type="dxa"/>
            <w:vAlign w:val="bottom"/>
            <w:gridSpan w:val="2"/>
          </w:tcPr>
          <w:p>
            <w:pPr>
              <w:ind w:left="320"/>
              <w:spacing w:after="0"/>
              <w:rPr>
                <w:sz w:val="20"/>
                <w:szCs w:val="20"/>
                <w:color w:val="auto"/>
              </w:rPr>
            </w:pPr>
            <w:r>
              <w:rPr>
                <w:rFonts w:ascii="Arial" w:cs="Arial" w:eastAsia="Arial" w:hAnsi="Arial"/>
                <w:sz w:val="15"/>
                <w:szCs w:val="15"/>
                <w:color w:val="auto"/>
              </w:rPr>
              <w:t>Provision for credit losses</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57,523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56,042</w:t>
            </w:r>
          </w:p>
        </w:tc>
      </w:tr>
      <w:tr>
        <w:trPr>
          <w:trHeight w:val="206"/>
        </w:trPr>
        <w:tc>
          <w:tcPr>
            <w:tcW w:w="72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Deferred taxes</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3,044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(12,503)</w:t>
            </w:r>
          </w:p>
        </w:tc>
      </w:tr>
      <w:tr>
        <w:trPr>
          <w:trHeight w:val="206"/>
        </w:trPr>
        <w:tc>
          <w:tcPr>
            <w:tcW w:w="7280" w:type="dxa"/>
            <w:vAlign w:val="bottom"/>
            <w:gridSpan w:val="2"/>
          </w:tcPr>
          <w:p>
            <w:pPr>
              <w:ind w:left="320"/>
              <w:spacing w:after="0"/>
              <w:rPr>
                <w:sz w:val="20"/>
                <w:szCs w:val="20"/>
                <w:color w:val="auto"/>
              </w:rPr>
            </w:pPr>
            <w:r>
              <w:rPr>
                <w:rFonts w:ascii="Arial" w:cs="Arial" w:eastAsia="Arial" w:hAnsi="Arial"/>
                <w:sz w:val="15"/>
                <w:szCs w:val="15"/>
                <w:color w:val="auto"/>
              </w:rPr>
              <w:t>Stock-based compensation</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22,177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25,420</w:t>
            </w:r>
          </w:p>
        </w:tc>
      </w:tr>
      <w:tr>
        <w:trPr>
          <w:trHeight w:val="206"/>
        </w:trPr>
        <w:tc>
          <w:tcPr>
            <w:tcW w:w="72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Changes in assets and liabilities, net of acquisitions:</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6"/>
        </w:trPr>
        <w:tc>
          <w:tcPr>
            <w:tcW w:w="7280" w:type="dxa"/>
            <w:vAlign w:val="bottom"/>
            <w:gridSpan w:val="2"/>
          </w:tcPr>
          <w:p>
            <w:pPr>
              <w:ind w:left="440"/>
              <w:spacing w:after="0"/>
              <w:rPr>
                <w:sz w:val="20"/>
                <w:szCs w:val="20"/>
                <w:color w:val="auto"/>
              </w:rPr>
            </w:pPr>
            <w:r>
              <w:rPr>
                <w:rFonts w:ascii="Arial" w:cs="Arial" w:eastAsia="Arial" w:hAnsi="Arial"/>
                <w:sz w:val="15"/>
                <w:szCs w:val="15"/>
                <w:color w:val="auto"/>
              </w:rPr>
              <w:t>Receivables</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(289,209)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(335,605)</w:t>
            </w:r>
          </w:p>
        </w:tc>
      </w:tr>
      <w:tr>
        <w:trPr>
          <w:trHeight w:val="20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Prepaid expenses, other current and noncurrent assets</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(17,548)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(7,504)</w:t>
            </w:r>
          </w:p>
        </w:tc>
      </w:tr>
      <w:tr>
        <w:trPr>
          <w:trHeight w:val="206"/>
        </w:trPr>
        <w:tc>
          <w:tcPr>
            <w:tcW w:w="7280" w:type="dxa"/>
            <w:vAlign w:val="bottom"/>
            <w:gridSpan w:val="2"/>
          </w:tcPr>
          <w:p>
            <w:pPr>
              <w:ind w:left="440"/>
              <w:spacing w:after="0"/>
              <w:rPr>
                <w:sz w:val="20"/>
                <w:szCs w:val="20"/>
                <w:color w:val="auto"/>
              </w:rPr>
            </w:pPr>
            <w:r>
              <w:rPr>
                <w:rFonts w:ascii="Arial" w:cs="Arial" w:eastAsia="Arial" w:hAnsi="Arial"/>
                <w:sz w:val="15"/>
                <w:szCs w:val="15"/>
                <w:color w:val="auto"/>
              </w:rPr>
              <w:t>Accounts payable, accrued expenses, salaries, wages and payroll taxes</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340,925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240,246</w:t>
            </w:r>
          </w:p>
        </w:tc>
      </w:tr>
      <w:tr>
        <w:trPr>
          <w:trHeight w:val="20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Deferred revenue, other current and noncurrent liabilities</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41,186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20,684</w:t>
            </w:r>
          </w:p>
        </w:tc>
      </w:tr>
      <w:tr>
        <w:trPr>
          <w:trHeight w:val="206"/>
        </w:trPr>
        <w:tc>
          <w:tcPr>
            <w:tcW w:w="7280" w:type="dxa"/>
            <w:vAlign w:val="bottom"/>
            <w:gridSpan w:val="2"/>
          </w:tcPr>
          <w:p>
            <w:pPr>
              <w:ind w:left="440"/>
              <w:spacing w:after="0"/>
              <w:rPr>
                <w:sz w:val="20"/>
                <w:szCs w:val="20"/>
                <w:color w:val="auto"/>
              </w:rPr>
            </w:pPr>
            <w:r>
              <w:rPr>
                <w:rFonts w:ascii="Arial" w:cs="Arial" w:eastAsia="Arial" w:hAnsi="Arial"/>
                <w:sz w:val="15"/>
                <w:szCs w:val="15"/>
                <w:color w:val="auto"/>
              </w:rPr>
              <w:t>Income tax receivables, accrued income taxes and income tax reserves</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(99,767)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50,049</w:t>
            </w:r>
          </w:p>
        </w:tc>
      </w:tr>
      <w:tr>
        <w:trPr>
          <w:trHeight w:val="20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Other, net</w:t>
            </w:r>
          </w:p>
        </w:tc>
        <w:tc>
          <w:tcPr>
            <w:tcW w:w="6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(1,972)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(1,088)</w:t>
            </w:r>
          </w:p>
        </w:tc>
      </w:tr>
      <w:tr>
        <w:trPr>
          <w:trHeight w:val="199"/>
        </w:trPr>
        <w:tc>
          <w:tcPr>
            <w:tcW w:w="7280" w:type="dxa"/>
            <w:vAlign w:val="bottom"/>
            <w:tcBorders>
              <w:bottom w:val="single" w:sz="8" w:color="CCEEFF"/>
            </w:tcBorders>
            <w:gridSpan w:val="2"/>
          </w:tcPr>
          <w:p>
            <w:pPr>
              <w:ind w:left="520"/>
              <w:spacing w:after="0"/>
              <w:rPr>
                <w:sz w:val="20"/>
                <w:szCs w:val="20"/>
                <w:color w:val="auto"/>
              </w:rPr>
            </w:pPr>
            <w:r>
              <w:rPr>
                <w:rFonts w:ascii="Arial" w:cs="Arial" w:eastAsia="Arial" w:hAnsi="Arial"/>
                <w:sz w:val="15"/>
                <w:szCs w:val="15"/>
                <w:color w:val="auto"/>
              </w:rPr>
              <w:t>Net cash provided by operating activities</w:t>
            </w:r>
          </w:p>
        </w:tc>
        <w:tc>
          <w:tcPr>
            <w:tcW w:w="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586,717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429,322</w:t>
            </w:r>
          </w:p>
        </w:tc>
      </w:tr>
      <w:tr>
        <w:trPr>
          <w:trHeight w:val="18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6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06"/>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Capital expenditures</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(67,144)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(71,784)</w:t>
            </w: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Payments made for business acquisitions, net of cash acquired</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(55,047)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(35,323)</w:t>
            </w:r>
          </w:p>
        </w:tc>
      </w:tr>
      <w:tr>
        <w:trPr>
          <w:trHeight w:val="206"/>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Franchise loans funded</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(18,201)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(21,455)</w:t>
            </w: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Payments from franchisees</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16,503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11,478</w:t>
            </w:r>
          </w:p>
        </w:tc>
      </w:tr>
      <w:tr>
        <w:trPr>
          <w:trHeight w:val="206"/>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Other, net</w:t>
            </w:r>
          </w:p>
        </w:tc>
        <w:tc>
          <w:tcPr>
            <w:tcW w:w="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1,329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6,194</w:t>
            </w:r>
          </w:p>
        </w:tc>
      </w:tr>
      <w:tr>
        <w:trPr>
          <w:trHeight w:val="199"/>
        </w:trPr>
        <w:tc>
          <w:tcPr>
            <w:tcW w:w="72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cash used in investing activities</w:t>
            </w:r>
          </w:p>
        </w:tc>
        <w:tc>
          <w:tcPr>
            <w:tcW w:w="6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(122,560)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(110,890)</w:t>
            </w:r>
          </w:p>
        </w:tc>
      </w:tr>
      <w:tr>
        <w:trPr>
          <w:trHeight w:val="186"/>
        </w:trPr>
        <w:tc>
          <w:tcPr>
            <w:tcW w:w="728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Repayments of line of credit borrowings</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(2,375,000)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(1,950,000)</w:t>
            </w:r>
          </w:p>
        </w:tc>
      </w:tr>
      <w:tr>
        <w:trPr>
          <w:trHeight w:val="206"/>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Proceeds from line of credit borrowings</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2,375,000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1,950,000</w:t>
            </w: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Repayments of long-term debt</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(350,000)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Proceeds from issuance of long-term debt</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346,980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Dividends paid</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(157,766)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(147,136)</w:t>
            </w:r>
          </w:p>
        </w:tc>
      </w:tr>
      <w:tr>
        <w:trPr>
          <w:trHeight w:val="206"/>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Repurchase of common stock, including shares surrendered</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(412,686)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(436,516)</w:t>
            </w: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net</w:t>
            </w:r>
          </w:p>
        </w:tc>
        <w:tc>
          <w:tcPr>
            <w:tcW w:w="6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(6,009)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(11,854)</w:t>
            </w:r>
          </w:p>
        </w:tc>
      </w:tr>
      <w:tr>
        <w:trPr>
          <w:trHeight w:val="199"/>
        </w:trPr>
        <w:tc>
          <w:tcPr>
            <w:tcW w:w="728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Net cash used in financing activities</w:t>
            </w:r>
          </w:p>
        </w:tc>
        <w:tc>
          <w:tcPr>
            <w:tcW w:w="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(579,481)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(595,506)</w:t>
            </w:r>
          </w:p>
        </w:tc>
      </w:tr>
      <w:tr>
        <w:trPr>
          <w:trHeight w:val="19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Effects of exchange rate changes on cash</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(1,070)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(8,429)</w:t>
            </w:r>
          </w:p>
        </w:tc>
      </w:tr>
      <w:tr>
        <w:trPr>
          <w:trHeight w:val="206"/>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Net decrease in cash and cash equivalents, including restricted balances</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(116,394)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(285,503)</w:t>
            </w:r>
          </w:p>
        </w:tc>
      </w:tr>
      <w:tr>
        <w:trPr>
          <w:trHeight w:val="20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6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1,003,139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1,075,193</w:t>
            </w:r>
          </w:p>
        </w:tc>
      </w:tr>
      <w:tr>
        <w:trPr>
          <w:trHeight w:val="199"/>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6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886,745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789,690</w:t>
            </w:r>
          </w:p>
        </w:tc>
      </w:tr>
      <w:tr>
        <w:trPr>
          <w:trHeight w:val="18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SUPPLEMENTARY CASH FLOW DATA:</w:t>
            </w:r>
          </w:p>
        </w:tc>
        <w:tc>
          <w:tcPr>
            <w:tcW w:w="6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06"/>
        </w:trPr>
        <w:tc>
          <w:tcPr>
            <w:tcW w:w="7280" w:type="dxa"/>
            <w:vAlign w:val="bottom"/>
            <w:gridSpan w:val="2"/>
          </w:tcPr>
          <w:p>
            <w:pPr>
              <w:ind w:left="100"/>
              <w:spacing w:after="0"/>
              <w:rPr>
                <w:sz w:val="20"/>
                <w:szCs w:val="20"/>
                <w:color w:val="auto"/>
              </w:rPr>
            </w:pPr>
            <w:r>
              <w:rPr>
                <w:rFonts w:ascii="Arial" w:cs="Arial" w:eastAsia="Arial" w:hAnsi="Arial"/>
                <w:sz w:val="15"/>
                <w:szCs w:val="15"/>
                <w:color w:val="auto"/>
              </w:rPr>
              <w:t>Income taxes paid, net (includes payments for purchased investment tax credits)</w:t>
            </w:r>
          </w:p>
        </w:tc>
        <w:tc>
          <w:tcPr>
            <w:tcW w:w="620" w:type="dxa"/>
            <w:vAlign w:val="bottom"/>
          </w:tcPr>
          <w:p>
            <w:pPr>
              <w:jc w:val="right"/>
              <w:ind w:right="423"/>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135,460</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65,505</w:t>
            </w:r>
          </w:p>
        </w:tc>
      </w:tr>
      <w:tr>
        <w:trPr>
          <w:trHeight w:val="206"/>
        </w:trPr>
        <w:tc>
          <w:tcPr>
            <w:tcW w:w="7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Interest paid on borrowings</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76,480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63,251</w:t>
            </w:r>
          </w:p>
        </w:tc>
      </w:tr>
      <w:tr>
        <w:trPr>
          <w:trHeight w:val="206"/>
        </w:trPr>
        <w:tc>
          <w:tcPr>
            <w:tcW w:w="7280" w:type="dxa"/>
            <w:vAlign w:val="bottom"/>
            <w:gridSpan w:val="2"/>
          </w:tcPr>
          <w:p>
            <w:pPr>
              <w:ind w:left="100"/>
              <w:spacing w:after="0"/>
              <w:rPr>
                <w:sz w:val="20"/>
                <w:szCs w:val="20"/>
                <w:color w:val="auto"/>
              </w:rPr>
            </w:pPr>
            <w:r>
              <w:rPr>
                <w:rFonts w:ascii="Arial" w:cs="Arial" w:eastAsia="Arial" w:hAnsi="Arial"/>
                <w:sz w:val="15"/>
                <w:szCs w:val="15"/>
                <w:color w:val="auto"/>
              </w:rPr>
              <w:t>Accrued additions to property and equipment</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2,448</w:t>
            </w:r>
          </w:p>
        </w:tc>
      </w:tr>
      <w:tr>
        <w:trPr>
          <w:trHeight w:val="206"/>
        </w:trPr>
        <w:tc>
          <w:tcPr>
            <w:tcW w:w="7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New operating right of use assets and related lease liabilities</w:t>
            </w:r>
          </w:p>
        </w:tc>
        <w:tc>
          <w:tcPr>
            <w:tcW w:w="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182,343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135,372</w:t>
            </w:r>
          </w:p>
        </w:tc>
      </w:tr>
      <w:tr>
        <w:trPr>
          <w:trHeight w:val="238"/>
        </w:trPr>
        <w:tc>
          <w:tcPr>
            <w:tcW w:w="7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Accrued dividends payable to common shareholders</w:t>
            </w:r>
          </w:p>
        </w:tc>
        <w:tc>
          <w:tcPr>
            <w:tcW w:w="6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53,239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50,194</w:t>
            </w:r>
          </w:p>
        </w:tc>
      </w:tr>
      <w:tr>
        <w:trPr>
          <w:trHeight w:val="20"/>
        </w:trPr>
        <w:tc>
          <w:tcPr>
            <w:tcW w:w="7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614680</wp:posOffset>
            </wp:positionV>
            <wp:extent cx="220980" cy="122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34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FY2026 Form 10-Q</w:t>
      </w:r>
      <w:r>
        <w:rPr>
          <w:sz w:val="20"/>
          <w:szCs w:val="20"/>
          <w:color w:val="auto"/>
        </w:rPr>
        <w:tab/>
      </w:r>
      <w:r>
        <w:rPr>
          <w:rFonts w:ascii="Arial" w:cs="Arial" w:eastAsia="Arial" w:hAnsi="Arial"/>
          <w:sz w:val="10"/>
          <w:szCs w:val="10"/>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309"/>
        </w:trPr>
        <w:tc>
          <w:tcPr>
            <w:tcW w:w="7440" w:type="dxa"/>
            <w:vAlign w:val="bottom"/>
            <w:tcBorders>
              <w:top w:val="single" w:sz="8" w:color="auto"/>
              <w:bottom w:val="single" w:sz="8" w:color="auto"/>
            </w:tcBorders>
            <w:gridSpan w:val="13"/>
          </w:tcPr>
          <w:p>
            <w:pPr>
              <w:ind w:left="20"/>
              <w:spacing w:after="0"/>
              <w:rPr>
                <w:sz w:val="20"/>
                <w:szCs w:val="20"/>
                <w:color w:val="auto"/>
              </w:rPr>
            </w:pPr>
            <w:r>
              <w:rPr>
                <w:rFonts w:ascii="Arial" w:cs="Arial" w:eastAsia="Arial" w:hAnsi="Arial"/>
                <w:sz w:val="24"/>
                <w:szCs w:val="24"/>
                <w:b w:val="1"/>
                <w:bCs w:val="1"/>
                <w:color w:val="auto"/>
              </w:rPr>
              <w:t>CONSOLIDATED STATEMENTS OF STOCKHOLDERS' EQUITY</w:t>
            </w: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80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4"/>
                <w:szCs w:val="14"/>
                <w:color w:val="auto"/>
                <w:w w:val="97"/>
              </w:rPr>
              <w:t>(amounts in 000s, except per share amounts)</w:t>
            </w:r>
          </w:p>
        </w:tc>
        <w:tc>
          <w:tcPr>
            <w:tcW w:w="0" w:type="dxa"/>
            <w:vAlign w:val="bottom"/>
          </w:tcPr>
          <w:p>
            <w:pPr>
              <w:spacing w:after="0"/>
              <w:rPr>
                <w:sz w:val="1"/>
                <w:szCs w:val="1"/>
                <w:color w:val="auto"/>
              </w:rPr>
            </w:pPr>
          </w:p>
        </w:tc>
      </w:tr>
      <w:tr>
        <w:trPr>
          <w:trHeight w:val="289"/>
        </w:trPr>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Additional</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Accumulated Other</w:t>
            </w:r>
          </w:p>
        </w:tc>
        <w:tc>
          <w:tcPr>
            <w:tcW w:w="16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Retained</w:t>
            </w:r>
          </w:p>
        </w:tc>
        <w:tc>
          <w:tcPr>
            <w:tcW w:w="182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9"/>
        </w:trPr>
        <w:tc>
          <w:tcPr>
            <w:tcW w:w="3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6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Paid-in</w:t>
            </w:r>
          </w:p>
        </w:tc>
        <w:tc>
          <w:tcPr>
            <w:tcW w:w="180" w:type="dxa"/>
            <w:vAlign w:val="bottom"/>
          </w:tcPr>
          <w:p>
            <w:pPr>
              <w:spacing w:after="0"/>
              <w:rPr>
                <w:sz w:val="9"/>
                <w:szCs w:val="9"/>
                <w:color w:val="auto"/>
              </w:rPr>
            </w:pPr>
          </w:p>
        </w:tc>
        <w:tc>
          <w:tcPr>
            <w:tcW w:w="116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Comprehensive</w:t>
            </w:r>
          </w:p>
        </w:tc>
        <w:tc>
          <w:tcPr>
            <w:tcW w:w="160" w:type="dxa"/>
            <w:vAlign w:val="bottom"/>
          </w:tcPr>
          <w:p>
            <w:pPr>
              <w:spacing w:after="0"/>
              <w:rPr>
                <w:sz w:val="9"/>
                <w:szCs w:val="9"/>
                <w:color w:val="auto"/>
              </w:rPr>
            </w:pPr>
          </w:p>
        </w:tc>
        <w:tc>
          <w:tcPr>
            <w:tcW w:w="820" w:type="dxa"/>
            <w:vAlign w:val="bottom"/>
            <w:gridSpan w:val="2"/>
          </w:tcPr>
          <w:p>
            <w:pPr>
              <w:ind w:left="160"/>
              <w:spacing w:after="0" w:line="109" w:lineRule="exact"/>
              <w:rPr>
                <w:sz w:val="20"/>
                <w:szCs w:val="20"/>
                <w:color w:val="auto"/>
              </w:rPr>
            </w:pPr>
            <w:r>
              <w:rPr>
                <w:rFonts w:ascii="Arial" w:cs="Arial" w:eastAsia="Arial" w:hAnsi="Arial"/>
                <w:sz w:val="11"/>
                <w:szCs w:val="11"/>
                <w:color w:val="auto"/>
              </w:rPr>
              <w:t>Earnings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6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9"/>
                <w:szCs w:val="9"/>
                <w:color w:val="auto"/>
              </w:rPr>
            </w:pPr>
          </w:p>
        </w:tc>
        <w:tc>
          <w:tcPr>
            <w:tcW w:w="90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Stockholders’</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w:t>
            </w:r>
            <w:r>
              <w:rPr>
                <w:rFonts w:ascii="Arial" w:cs="Arial" w:eastAsia="Arial" w:hAnsi="Arial"/>
                <w:sz w:val="8"/>
                <w:szCs w:val="8"/>
                <w:color w:val="auto"/>
              </w:rPr>
              <w:t>(1)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2025</w:t>
            </w:r>
          </w:p>
        </w:tc>
        <w:tc>
          <w:tcPr>
            <w:tcW w:w="860" w:type="dxa"/>
            <w:vAlign w:val="bottom"/>
          </w:tcPr>
          <w:p>
            <w:pPr>
              <w:jc w:val="right"/>
              <w:ind w:right="3"/>
              <w:spacing w:after="0"/>
              <w:rPr>
                <w:sz w:val="20"/>
                <w:szCs w:val="20"/>
                <w:color w:val="auto"/>
              </w:rPr>
            </w:pPr>
            <w:r>
              <w:rPr>
                <w:rFonts w:ascii="Arial" w:cs="Arial" w:eastAsia="Arial" w:hAnsi="Arial"/>
                <w:sz w:val="15"/>
                <w:szCs w:val="15"/>
                <w:b w:val="1"/>
                <w:bCs w:val="1"/>
                <w:color w:val="auto"/>
              </w:rPr>
              <w:t>164,367</w:t>
            </w: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3"/>
              <w:spacing w:after="0"/>
              <w:rPr>
                <w:sz w:val="20"/>
                <w:szCs w:val="20"/>
                <w:color w:val="auto"/>
              </w:rPr>
            </w:pPr>
            <w:r>
              <w:rPr>
                <w:rFonts w:ascii="Arial" w:cs="Arial" w:eastAsia="Arial" w:hAnsi="Arial"/>
                <w:sz w:val="15"/>
                <w:szCs w:val="15"/>
                <w:b w:val="1"/>
                <w:bCs w:val="1"/>
                <w:color w:val="auto"/>
              </w:rPr>
              <w:t>1,644</w:t>
            </w:r>
          </w:p>
        </w:tc>
        <w:tc>
          <w:tcPr>
            <w:tcW w:w="6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766,998</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(47,755)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12,061</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(30,420)</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(644,052)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b w:val="1"/>
                <w:bCs w:val="1"/>
                <w:color w:val="auto"/>
              </w:rPr>
              <w:t>88,896</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(165,819)</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(165,819)</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Other comprehensive loss</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(9,308)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(9,308)</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6,172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6,172</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Stock-based awards exercised or vested</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(10,551)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(1,797)</w:t>
            </w:r>
          </w:p>
        </w:tc>
        <w:tc>
          <w:tcPr>
            <w:tcW w:w="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579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12,255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(93)</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5"/>
                <w:szCs w:val="15"/>
                <w:color w:val="auto"/>
              </w:rPr>
              <w:t>Acquisition of treasury shares</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(12,297)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(12,297)</w:t>
            </w:r>
          </w:p>
        </w:tc>
        <w:tc>
          <w:tcPr>
            <w:tcW w:w="0" w:type="dxa"/>
            <w:vAlign w:val="bottom"/>
          </w:tcPr>
          <w:p>
            <w:pPr>
              <w:spacing w:after="0"/>
              <w:rPr>
                <w:sz w:val="1"/>
                <w:szCs w:val="1"/>
                <w:color w:val="auto"/>
              </w:rPr>
            </w:pPr>
          </w:p>
        </w:tc>
      </w:tr>
      <w:tr>
        <w:trPr>
          <w:trHeight w:val="155"/>
        </w:trPr>
        <w:tc>
          <w:tcPr>
            <w:tcW w:w="32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Repurchase and retirement of common</w:t>
            </w: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(7,861)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(4,638)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(399,401)</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(404,118)</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shares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dividends declared - $0.42 per share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(54,343)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(54,343)</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Balances as of September 30, 2025</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156,506</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1,565</w:t>
            </w:r>
          </w:p>
        </w:tc>
        <w:tc>
          <w:tcPr>
            <w:tcW w:w="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757,981</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(57,063)</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(609,299)</w:t>
            </w:r>
          </w:p>
        </w:tc>
        <w:tc>
          <w:tcPr>
            <w:tcW w:w="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(30,085)</w:t>
            </w: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(644,094)</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(550,910)</w:t>
            </w:r>
          </w:p>
        </w:tc>
        <w:tc>
          <w:tcPr>
            <w:tcW w:w="0" w:type="dxa"/>
            <w:vAlign w:val="bottom"/>
          </w:tcPr>
          <w:p>
            <w:pPr>
              <w:spacing w:after="0"/>
              <w:rPr>
                <w:sz w:val="1"/>
                <w:szCs w:val="1"/>
                <w:color w:val="auto"/>
              </w:rPr>
            </w:pPr>
          </w:p>
        </w:tc>
      </w:tr>
      <w:tr>
        <w:trPr>
          <w:trHeight w:val="19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(242,166)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(242,166)</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Other comprehensive income</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b w:val="1"/>
                <w:bCs w:val="1"/>
                <w:color w:val="auto"/>
              </w:rPr>
              <w:t>5,725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b w:val="1"/>
                <w:bCs w:val="1"/>
                <w:color w:val="auto"/>
              </w:rPr>
              <w:t>5,725</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7,625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7,625</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Stock-based awards exercised or vested</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2,925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(160)</w:t>
            </w:r>
          </w:p>
        </w:tc>
        <w:tc>
          <w:tcPr>
            <w:tcW w:w="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342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7,328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b w:val="1"/>
                <w:bCs w:val="1"/>
                <w:color w:val="auto"/>
              </w:rPr>
              <w:t>10,093</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5"/>
                <w:szCs w:val="15"/>
                <w:color w:val="auto"/>
              </w:rPr>
              <w:t>Acquisition of treasury shares</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(230)</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Cash dividends declared - $0.42 per share</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(53,215)</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(53,215)</w:t>
            </w:r>
          </w:p>
        </w:tc>
        <w:tc>
          <w:tcPr>
            <w:tcW w:w="0" w:type="dxa"/>
            <w:vAlign w:val="bottom"/>
          </w:tcPr>
          <w:p>
            <w:pPr>
              <w:spacing w:after="0"/>
              <w:rPr>
                <w:sz w:val="1"/>
                <w:szCs w:val="1"/>
                <w:color w:val="auto"/>
              </w:rPr>
            </w:pPr>
          </w:p>
        </w:tc>
      </w:tr>
      <w:tr>
        <w:trPr>
          <w:trHeight w:val="199"/>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Balances as of December 31, 2025</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156,506</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1,565</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768,531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(51,338)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(904,840)</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(29,748)</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(636,996)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(823,078)</w:t>
            </w:r>
          </w:p>
        </w:tc>
        <w:tc>
          <w:tcPr>
            <w:tcW w:w="0" w:type="dxa"/>
            <w:vAlign w:val="bottom"/>
          </w:tcPr>
          <w:p>
            <w:pPr>
              <w:spacing w:after="0"/>
              <w:rPr>
                <w:sz w:val="1"/>
                <w:szCs w:val="1"/>
                <w:color w:val="auto"/>
              </w:rPr>
            </w:pPr>
          </w:p>
        </w:tc>
      </w:tr>
      <w:tr>
        <w:trPr>
          <w:trHeight w:val="199"/>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Net income</w:t>
            </w:r>
          </w:p>
        </w:tc>
        <w:tc>
          <w:tcPr>
            <w:tcW w:w="86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847,901</w:t>
            </w:r>
          </w:p>
        </w:tc>
        <w:tc>
          <w:tcPr>
            <w:tcW w:w="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b w:val="1"/>
                <w:bCs w:val="1"/>
                <w:color w:val="auto"/>
              </w:rPr>
              <w:t>847,901</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(4,008)</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8,379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b w:val="1"/>
                <w:bCs w:val="1"/>
                <w:color w:val="auto"/>
              </w:rPr>
              <w:t>8,379</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awards exercised or vested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(293)</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(286)</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Acquisition of treasury shares</w:t>
            </w:r>
            <w:r>
              <w:rPr>
                <w:rFonts w:ascii="Arial" w:cs="Arial" w:eastAsia="Arial" w:hAnsi="Arial"/>
                <w:sz w:val="20"/>
                <w:szCs w:val="20"/>
                <w:color w:val="auto"/>
                <w:vertAlign w:val="superscript"/>
              </w:rPr>
              <w:t>(2)</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(41)</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dividends declared - $0.42 per share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(53,239)</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(53,239)</w:t>
            </w: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Balances as of March 31, 2026</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156,506</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1,565</w:t>
            </w:r>
          </w:p>
        </w:tc>
        <w:tc>
          <w:tcPr>
            <w:tcW w:w="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776,872</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(55,346)</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(110,471)</w:t>
            </w:r>
          </w:p>
        </w:tc>
        <w:tc>
          <w:tcPr>
            <w:tcW w:w="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(29,746)</w:t>
            </w: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(636,992)</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(24,372)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1007110</wp:posOffset>
            </wp:positionV>
            <wp:extent cx="155575" cy="122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57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hanging="173"/>
        <w:spacing w:after="0"/>
        <w:tabs>
          <w:tab w:leader="none" w:pos="260" w:val="left"/>
        </w:tabs>
        <w:numPr>
          <w:ilvl w:val="0"/>
          <w:numId w:val="4"/>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668020</wp:posOffset>
            </wp:positionV>
            <wp:extent cx="7122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460"/>
        <w:spacing w:after="0"/>
        <w:rPr>
          <w:sz w:val="20"/>
          <w:szCs w:val="20"/>
          <w:color w:val="auto"/>
        </w:rPr>
      </w:pPr>
      <w:r>
        <w:rPr>
          <w:rFonts w:ascii="Arial" w:cs="Arial" w:eastAsia="Arial" w:hAnsi="Arial"/>
          <w:sz w:val="13"/>
          <w:szCs w:val="13"/>
          <w:color w:val="auto"/>
        </w:rPr>
        <w:t>(amounts 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Additional</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Accumulated Other</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Retained</w:t>
            </w:r>
          </w:p>
        </w:tc>
        <w:tc>
          <w:tcPr>
            <w:tcW w:w="182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9"/>
        </w:trPr>
        <w:tc>
          <w:tcPr>
            <w:tcW w:w="3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6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Paid-in</w:t>
            </w:r>
          </w:p>
        </w:tc>
        <w:tc>
          <w:tcPr>
            <w:tcW w:w="180" w:type="dxa"/>
            <w:vAlign w:val="bottom"/>
          </w:tcPr>
          <w:p>
            <w:pPr>
              <w:spacing w:after="0"/>
              <w:rPr>
                <w:sz w:val="9"/>
                <w:szCs w:val="9"/>
                <w:color w:val="auto"/>
              </w:rPr>
            </w:pPr>
          </w:p>
        </w:tc>
        <w:tc>
          <w:tcPr>
            <w:tcW w:w="116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Comprehensive</w:t>
            </w:r>
          </w:p>
        </w:tc>
        <w:tc>
          <w:tcPr>
            <w:tcW w:w="160" w:type="dxa"/>
            <w:vAlign w:val="bottom"/>
          </w:tcPr>
          <w:p>
            <w:pPr>
              <w:spacing w:after="0"/>
              <w:rPr>
                <w:sz w:val="9"/>
                <w:szCs w:val="9"/>
                <w:color w:val="auto"/>
              </w:rPr>
            </w:pPr>
          </w:p>
        </w:tc>
        <w:tc>
          <w:tcPr>
            <w:tcW w:w="820" w:type="dxa"/>
            <w:vAlign w:val="bottom"/>
            <w:gridSpan w:val="2"/>
          </w:tcPr>
          <w:p>
            <w:pPr>
              <w:ind w:left="160"/>
              <w:spacing w:after="0" w:line="109" w:lineRule="exact"/>
              <w:rPr>
                <w:sz w:val="20"/>
                <w:szCs w:val="20"/>
                <w:color w:val="auto"/>
              </w:rPr>
            </w:pPr>
            <w:r>
              <w:rPr>
                <w:rFonts w:ascii="Arial" w:cs="Arial" w:eastAsia="Arial" w:hAnsi="Arial"/>
                <w:sz w:val="11"/>
                <w:szCs w:val="11"/>
                <w:color w:val="auto"/>
              </w:rPr>
              <w:t>Earnings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6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9"/>
                <w:szCs w:val="9"/>
                <w:color w:val="auto"/>
              </w:rPr>
            </w:pPr>
          </w:p>
        </w:tc>
        <w:tc>
          <w:tcPr>
            <w:tcW w:w="90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Stockholders’</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w:t>
            </w:r>
            <w:r>
              <w:rPr>
                <w:rFonts w:ascii="Arial" w:cs="Arial" w:eastAsia="Arial" w:hAnsi="Arial"/>
                <w:sz w:val="8"/>
                <w:szCs w:val="8"/>
                <w:color w:val="auto"/>
              </w:rPr>
              <w:t>(1)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2024</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170,916</w:t>
            </w: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1,709</w:t>
            </w:r>
          </w:p>
        </w:tc>
        <w:tc>
          <w:tcPr>
            <w:tcW w:w="6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762,583</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(48,845)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12,654</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(31,325)</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(637,507)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90,594</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(172,576)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(172,576)</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Other comprehensive income</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6,117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6,117</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7,463</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Stock-based awards exercised or vested</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(23,990)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(2,611)</w:t>
            </w:r>
          </w:p>
        </w:tc>
        <w:tc>
          <w:tcPr>
            <w:tcW w:w="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1,319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26,848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247</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5"/>
                <w:szCs w:val="15"/>
                <w:color w:val="auto"/>
              </w:rPr>
              <w:t>Acquisition of treasury shares</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(35,882)</w:t>
            </w:r>
          </w:p>
        </w:tc>
        <w:tc>
          <w:tcPr>
            <w:tcW w:w="0" w:type="dxa"/>
            <w:vAlign w:val="bottom"/>
          </w:tcPr>
          <w:p>
            <w:pPr>
              <w:spacing w:after="0"/>
              <w:rPr>
                <w:sz w:val="1"/>
                <w:szCs w:val="1"/>
                <w:color w:val="auto"/>
              </w:rPr>
            </w:pPr>
          </w:p>
        </w:tc>
      </w:tr>
      <w:tr>
        <w:trPr>
          <w:trHeight w:val="155"/>
        </w:trPr>
        <w:tc>
          <w:tcPr>
            <w:tcW w:w="32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Repurchase and retirement of common</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(3,301)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(1,980)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(209,708)</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(211,721)</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shares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dividends declared - $0.375 per share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(52,307)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(52,307)</w:t>
            </w:r>
          </w:p>
        </w:tc>
        <w:tc>
          <w:tcPr>
            <w:tcW w:w="0" w:type="dxa"/>
            <w:vAlign w:val="bottom"/>
          </w:tcPr>
          <w:p>
            <w:pPr>
              <w:spacing w:after="0"/>
              <w:rPr>
                <w:sz w:val="1"/>
                <w:szCs w:val="1"/>
                <w:color w:val="auto"/>
              </w:rPr>
            </w:pPr>
          </w:p>
        </w:tc>
      </w:tr>
      <w:tr>
        <w:trPr>
          <w:trHeight w:val="198"/>
        </w:trPr>
        <w:tc>
          <w:tcPr>
            <w:tcW w:w="3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Balances as of September 30, 2024</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167,615</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1,676</w:t>
            </w:r>
          </w:p>
        </w:tc>
        <w:tc>
          <w:tcPr>
            <w:tcW w:w="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744,076</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(42,728)</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(424,548)</w:t>
            </w:r>
          </w:p>
        </w:tc>
        <w:tc>
          <w:tcPr>
            <w:tcW w:w="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(30,573)</w:t>
            </w: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(646,541)</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(368,065)</w:t>
            </w:r>
          </w:p>
        </w:tc>
        <w:tc>
          <w:tcPr>
            <w:tcW w:w="0" w:type="dxa"/>
            <w:vAlign w:val="bottom"/>
          </w:tcPr>
          <w:p>
            <w:pPr>
              <w:spacing w:after="0"/>
              <w:rPr>
                <w:sz w:val="1"/>
                <w:szCs w:val="1"/>
                <w:color w:val="auto"/>
              </w:rPr>
            </w:pPr>
          </w:p>
        </w:tc>
      </w:tr>
      <w:tr>
        <w:trPr>
          <w:trHeight w:val="200"/>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(243,420)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(243,420)</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Other comprehensive loss</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(29,034)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(29,034)</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9,156</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Stock-based awards exercised or vested</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810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(245)</w:t>
            </w:r>
          </w:p>
        </w:tc>
        <w:tc>
          <w:tcPr>
            <w:tcW w:w="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1,709</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5"/>
                <w:szCs w:val="15"/>
                <w:color w:val="auto"/>
              </w:rPr>
              <w:t>Acquisition of treasury shares</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155"/>
        </w:trPr>
        <w:tc>
          <w:tcPr>
            <w:tcW w:w="32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Repurchase and retirement of common</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(3,248)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(1,949)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(190,396)</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(192,377)</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shares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dividends declared - $0.375 per share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(50,176)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(50,176)</w:t>
            </w:r>
          </w:p>
        </w:tc>
        <w:tc>
          <w:tcPr>
            <w:tcW w:w="0" w:type="dxa"/>
            <w:vAlign w:val="bottom"/>
          </w:tcPr>
          <w:p>
            <w:pPr>
              <w:spacing w:after="0"/>
              <w:rPr>
                <w:sz w:val="1"/>
                <w:szCs w:val="1"/>
                <w:color w:val="auto"/>
              </w:rPr>
            </w:pPr>
          </w:p>
        </w:tc>
      </w:tr>
      <w:tr>
        <w:trPr>
          <w:trHeight w:val="198"/>
        </w:trPr>
        <w:tc>
          <w:tcPr>
            <w:tcW w:w="3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Balances as of December 31, 2024</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164,367</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1,644</w:t>
            </w:r>
          </w:p>
        </w:tc>
        <w:tc>
          <w:tcPr>
            <w:tcW w:w="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752,093</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(71,762)</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(908,785)</w:t>
            </w:r>
          </w:p>
        </w:tc>
        <w:tc>
          <w:tcPr>
            <w:tcW w:w="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(30,523)</w:t>
            </w: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(645,650)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(872,460)</w:t>
            </w:r>
          </w:p>
        </w:tc>
        <w:tc>
          <w:tcPr>
            <w:tcW w:w="0" w:type="dxa"/>
            <w:vAlign w:val="bottom"/>
          </w:tcPr>
          <w:p>
            <w:pPr>
              <w:spacing w:after="0"/>
              <w:rPr>
                <w:sz w:val="1"/>
                <w:szCs w:val="1"/>
                <w:color w:val="auto"/>
              </w:rPr>
            </w:pPr>
          </w:p>
        </w:tc>
      </w:tr>
      <w:tr>
        <w:trPr>
          <w:trHeight w:val="200"/>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722,330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722,330</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Other comprehensive income</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445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7,424</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Stock-based awards exercised or vested</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(260)</w:t>
            </w:r>
          </w:p>
        </w:tc>
        <w:tc>
          <w:tcPr>
            <w:tcW w:w="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41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5"/>
                <w:szCs w:val="15"/>
                <w:color w:val="auto"/>
              </w:rPr>
              <w:t>Acquisition of treasury shares</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Cash dividends declared - $0.375 per share</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(50,194)</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(50,194)</w:t>
            </w:r>
          </w:p>
        </w:tc>
        <w:tc>
          <w:tcPr>
            <w:tcW w:w="0" w:type="dxa"/>
            <w:vAlign w:val="bottom"/>
          </w:tcPr>
          <w:p>
            <w:pPr>
              <w:spacing w:after="0"/>
              <w:rPr>
                <w:sz w:val="1"/>
                <w:szCs w:val="1"/>
                <w:color w:val="auto"/>
              </w:rPr>
            </w:pPr>
          </w:p>
        </w:tc>
      </w:tr>
      <w:tr>
        <w:trPr>
          <w:trHeight w:val="200"/>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Balances as of March 31, 2025</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164,367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1,644</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758,821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(71,317)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(236,909)</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(30,488)</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(645,077)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(192,838)</w:t>
            </w:r>
          </w:p>
        </w:tc>
        <w:tc>
          <w:tcPr>
            <w:tcW w:w="0" w:type="dxa"/>
            <w:vAlign w:val="bottom"/>
          </w:tcPr>
          <w:p>
            <w:pPr>
              <w:spacing w:after="0"/>
              <w:rPr>
                <w:sz w:val="1"/>
                <w:szCs w:val="1"/>
                <w:color w:val="auto"/>
              </w:rPr>
            </w:pPr>
          </w:p>
        </w:tc>
      </w:tr>
      <w:tr>
        <w:trPr>
          <w:trHeight w:val="32"/>
        </w:trPr>
        <w:tc>
          <w:tcPr>
            <w:tcW w:w="3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7"/>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The balance of our accumulated other comprehensive loss consists of foreign currency translation adjustments.</w:t>
      </w:r>
    </w:p>
    <w:p>
      <w:pPr>
        <w:ind w:left="140" w:hanging="137"/>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Represents shares swapped or surrendered to us in connection with the vesting or exercise of stock-based awards.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6976745</wp:posOffset>
            </wp:positionH>
            <wp:positionV relativeFrom="paragraph">
              <wp:posOffset>663575</wp:posOffset>
            </wp:positionV>
            <wp:extent cx="163830" cy="122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83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6960" w:val="left"/>
        </w:tabs>
        <w:rPr>
          <w:sz w:val="20"/>
          <w:szCs w:val="20"/>
          <w:color w:val="auto"/>
        </w:rPr>
      </w:pPr>
      <w:r>
        <w:rPr>
          <w:rFonts w:ascii="Arial" w:cs="Arial" w:eastAsia="Arial" w:hAnsi="Arial"/>
          <w:sz w:val="24"/>
          <w:szCs w:val="24"/>
          <w:b w:val="1"/>
          <w:bCs w:val="1"/>
          <w:color w:val="14AA40"/>
        </w:rPr>
        <w:t>NOTES TO CONSOLIDATED FINANCIAL STATEMENTS</w:t>
      </w:r>
      <w:r>
        <w:rPr>
          <w:sz w:val="20"/>
          <w:szCs w:val="20"/>
          <w:color w:val="auto"/>
        </w:rPr>
        <w:tab/>
      </w:r>
      <w:r>
        <w:rPr>
          <w:rFonts w:ascii="Arial" w:cs="Arial" w:eastAsia="Arial" w:hAnsi="Arial"/>
          <w:sz w:val="20"/>
          <w:szCs w:val="20"/>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1: SUMMARY OF SIGNIFICANT ACCOUNTING POLICIES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consolidated balance sheets as of March 31, 2026 and June 30, 2025, the consolidated statements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and comprehensive income for the three and nine months ended March 31, 2026 and 2025, the consolidated statements of cash flows for the nine months ended March 31, 2026 and 2025, and the consolidated statements of stockholders' equity for the three and nine months ended March 31, 2026 and 2025 have been prepared by the Company, without audit. In the opinion of management, all adjustments, which include only normal recurring adjustments, necessary to present fairly the financial position, results of operations, and cash flows as of March 31, 2026 and 2025 and for all periods presented, have been made.</w:t>
      </w:r>
    </w:p>
    <w:p>
      <w:pPr>
        <w:spacing w:after="0" w:line="67"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color w:val="auto"/>
        </w:rPr>
        <w:t>"H&amp;R Block," "the Company," "we," "our," and "us" are used interchangeably to refer to H&amp;R Block, Inc., to H&amp;R Block, Inc. and its subsidiaries, or to H&amp;R Block, Inc.'s operating subsidiaries, as appropriate to the context.</w:t>
      </w:r>
    </w:p>
    <w:p>
      <w:pPr>
        <w:spacing w:after="0" w:line="43"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June 30, 2025 Annual Report on Form 10-K. All amounts presented herein as of June 30, 2025 or for the year then ended are derived from our Annual Report on Form 10-K.</w:t>
      </w:r>
    </w:p>
    <w:p>
      <w:pPr>
        <w:spacing w:after="0" w:line="63" w:lineRule="exact"/>
        <w:rPr>
          <w:sz w:val="20"/>
          <w:szCs w:val="20"/>
          <w:color w:val="auto"/>
        </w:rPr>
      </w:pPr>
    </w:p>
    <w:p>
      <w:pPr>
        <w:jc w:val="both"/>
        <w:ind w:firstLine="193"/>
        <w:spacing w:after="0" w:line="261" w:lineRule="auto"/>
        <w:rPr>
          <w:sz w:val="20"/>
          <w:szCs w:val="20"/>
          <w:color w:val="auto"/>
        </w:rPr>
      </w:pPr>
      <w:r>
        <w:rPr>
          <w:rFonts w:ascii="Arial" w:cs="Arial" w:eastAsia="Arial" w:hAnsi="Arial"/>
          <w:sz w:val="17"/>
          <w:szCs w:val="17"/>
          <w:b w:val="1"/>
          <w:bCs w:val="1"/>
          <w:color w:val="auto"/>
        </w:rPr>
        <w:t xml:space="preserve">MANAGEMENT ESTIMATES </w:t>
      </w:r>
      <w:r>
        <w:rPr>
          <w:rFonts w:ascii="Arial" w:cs="Arial" w:eastAsia="Arial" w:hAnsi="Arial"/>
          <w:sz w:val="17"/>
          <w:szCs w:val="17"/>
          <w:color w:val="auto"/>
        </w:rPr>
        <w:t>– The preparation of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associated with pending claims and litigation, reserves for uncertain tax positions, and fair value of reporting units. Estimates have been prepared based on the best information available as of each balance sheet date. As such, actual results could differ materially from those estimates.</w:t>
      </w:r>
    </w:p>
    <w:p>
      <w:pPr>
        <w:spacing w:after="0" w:line="65" w:lineRule="exact"/>
        <w:rPr>
          <w:sz w:val="20"/>
          <w:szCs w:val="20"/>
          <w:color w:val="auto"/>
        </w:rPr>
      </w:pPr>
    </w:p>
    <w:p>
      <w:pPr>
        <w:jc w:val="both"/>
        <w:ind w:firstLine="193"/>
        <w:spacing w:after="0" w:line="292" w:lineRule="auto"/>
        <w:rPr>
          <w:sz w:val="20"/>
          <w:szCs w:val="20"/>
          <w:color w:val="auto"/>
        </w:rPr>
      </w:pPr>
      <w:r>
        <w:rPr>
          <w:rFonts w:ascii="Arial" w:cs="Arial" w:eastAsia="Arial" w:hAnsi="Arial"/>
          <w:sz w:val="17"/>
          <w:szCs w:val="17"/>
          <w:b w:val="1"/>
          <w:bCs w:val="1"/>
          <w:color w:val="auto"/>
        </w:rPr>
        <w:t xml:space="preserve">SEASONALITY OF BUSINESS </w:t>
      </w:r>
      <w:r>
        <w:rPr>
          <w:rFonts w:ascii="Arial" w:cs="Arial" w:eastAsia="Arial" w:hAnsi="Arial"/>
          <w:sz w:val="17"/>
          <w:szCs w:val="17"/>
          <w:color w:val="auto"/>
        </w:rPr>
        <w:t>– Our operating revenues are seasonal in nature with peak revenues typically occurring in the months of</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through April. Therefore, results for interim periods are not indicative of results to be expected for the full year.</w:t>
      </w:r>
    </w:p>
    <w:p>
      <w:pPr>
        <w:spacing w:after="0" w:line="40" w:lineRule="exact"/>
        <w:rPr>
          <w:sz w:val="20"/>
          <w:szCs w:val="20"/>
          <w:color w:val="auto"/>
        </w:rPr>
      </w:pPr>
    </w:p>
    <w:p>
      <w:pPr>
        <w:jc w:val="both"/>
        <w:ind w:firstLine="193"/>
        <w:spacing w:after="0" w:line="292"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 Our discontinued operations include the results of operations of Sand Canyon Corporation, previously known</w:t>
      </w:r>
      <w:r>
        <w:rPr>
          <w:rFonts w:ascii="Arial" w:cs="Arial" w:eastAsia="Arial" w:hAnsi="Arial"/>
          <w:sz w:val="17"/>
          <w:szCs w:val="17"/>
          <w:b w:val="1"/>
          <w:bCs w:val="1"/>
          <w:color w:val="auto"/>
        </w:rPr>
        <w:t xml:space="preserve"> </w:t>
      </w:r>
      <w:r>
        <w:rPr>
          <w:rFonts w:ascii="Arial" w:cs="Arial" w:eastAsia="Arial" w:hAnsi="Arial"/>
          <w:sz w:val="17"/>
          <w:szCs w:val="17"/>
          <w:color w:val="auto"/>
        </w:rPr>
        <w:t>as Option One Mortgage Corporation, which exited its mortgage business in fiscal year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577850</wp:posOffset>
            </wp:positionV>
            <wp:extent cx="212725"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hanging="228"/>
        <w:spacing w:after="0"/>
        <w:tabs>
          <w:tab w:leader="none" w:pos="360" w:val="left"/>
        </w:tabs>
        <w:numPr>
          <w:ilvl w:val="0"/>
          <w:numId w:val="6"/>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2: REVENUE RECOGNITION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majority of our revenues are from our United States (U.S.) tax services business. The following table disaggregates our U.S. revenues by major service line, with revenues from our international tax services businesses and from Wave included as separate lines: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5"/>
          </w:tcPr>
          <w:p>
            <w:pPr>
              <w:ind w:left="240"/>
              <w:spacing w:after="0"/>
              <w:rPr>
                <w:sz w:val="20"/>
                <w:szCs w:val="20"/>
                <w:color w:val="auto"/>
              </w:rPr>
            </w:pPr>
            <w:r>
              <w:rPr>
                <w:rFonts w:ascii="Arial" w:cs="Arial" w:eastAsia="Arial" w:hAnsi="Arial"/>
                <w:sz w:val="15"/>
                <w:szCs w:val="15"/>
                <w:color w:val="auto"/>
              </w:rPr>
              <w:t>Three months ended March 31,</w:t>
            </w:r>
          </w:p>
        </w:tc>
        <w:tc>
          <w:tcPr>
            <w:tcW w:w="460" w:type="dxa"/>
            <w:vAlign w:val="bottom"/>
          </w:tcPr>
          <w:p>
            <w:pPr>
              <w:spacing w:after="0"/>
              <w:rPr>
                <w:sz w:val="17"/>
                <w:szCs w:val="17"/>
                <w:color w:val="auto"/>
              </w:rPr>
            </w:pPr>
          </w:p>
        </w:tc>
        <w:tc>
          <w:tcPr>
            <w:tcW w:w="2460" w:type="dxa"/>
            <w:vAlign w:val="bottom"/>
            <w:gridSpan w:val="3"/>
          </w:tcPr>
          <w:p>
            <w:pPr>
              <w:jc w:val="right"/>
              <w:spacing w:after="0"/>
              <w:rPr>
                <w:sz w:val="20"/>
                <w:szCs w:val="20"/>
                <w:color w:val="auto"/>
              </w:rPr>
            </w:pPr>
            <w:r>
              <w:rPr>
                <w:rFonts w:ascii="Arial" w:cs="Arial" w:eastAsia="Arial" w:hAnsi="Arial"/>
                <w:sz w:val="15"/>
                <w:szCs w:val="15"/>
                <w:color w:val="auto"/>
              </w:rPr>
              <w:t>Nine months ended March 31,</w:t>
            </w:r>
          </w:p>
        </w:tc>
        <w:tc>
          <w:tcPr>
            <w:tcW w:w="780" w:type="dxa"/>
            <w:vAlign w:val="bottom"/>
          </w:tcPr>
          <w:p>
            <w:pPr>
              <w:spacing w:after="0"/>
              <w:rPr>
                <w:sz w:val="17"/>
                <w:szCs w:val="17"/>
                <w:color w:val="auto"/>
              </w:rPr>
            </w:pPr>
          </w:p>
        </w:tc>
      </w:tr>
      <w:tr>
        <w:trPr>
          <w:trHeight w:val="200"/>
        </w:trPr>
        <w:tc>
          <w:tcPr>
            <w:tcW w:w="4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r>
      <w:tr>
        <w:trPr>
          <w:trHeight w:val="198"/>
        </w:trPr>
        <w:tc>
          <w:tcPr>
            <w:tcW w:w="416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assisted tax preparation</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1,742,135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1,635,877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1,846,698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1,727,220</w:t>
            </w:r>
          </w:p>
        </w:tc>
      </w:tr>
      <w:tr>
        <w:trPr>
          <w:trHeight w:val="206"/>
        </w:trPr>
        <w:tc>
          <w:tcPr>
            <w:tcW w:w="4160" w:type="dxa"/>
            <w:vAlign w:val="bottom"/>
            <w:gridSpan w:val="2"/>
          </w:tcPr>
          <w:p>
            <w:pPr>
              <w:ind w:left="140"/>
              <w:spacing w:after="0"/>
              <w:rPr>
                <w:sz w:val="20"/>
                <w:szCs w:val="20"/>
                <w:color w:val="auto"/>
              </w:rPr>
            </w:pPr>
            <w:r>
              <w:rPr>
                <w:rFonts w:ascii="Arial" w:cs="Arial" w:eastAsia="Arial" w:hAnsi="Arial"/>
                <w:sz w:val="15"/>
                <w:szCs w:val="15"/>
                <w:color w:val="auto"/>
              </w:rPr>
              <w:t>U.S. royalties</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128,182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133,961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139,139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143,312</w:t>
            </w:r>
          </w:p>
        </w:tc>
      </w:tr>
      <w:tr>
        <w:trPr>
          <w:trHeight w:val="206"/>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DIY tax preparation</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215,245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214,666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235,797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231,646</w:t>
            </w:r>
          </w:p>
        </w:tc>
      </w:tr>
      <w:tr>
        <w:trPr>
          <w:trHeight w:val="206"/>
        </w:trPr>
        <w:tc>
          <w:tcPr>
            <w:tcW w:w="4160" w:type="dxa"/>
            <w:vAlign w:val="bottom"/>
            <w:gridSpan w:val="2"/>
          </w:tcPr>
          <w:p>
            <w:pPr>
              <w:ind w:left="140"/>
              <w:spacing w:after="0"/>
              <w:rPr>
                <w:sz w:val="20"/>
                <w:szCs w:val="20"/>
                <w:color w:val="auto"/>
              </w:rPr>
            </w:pPr>
            <w:r>
              <w:rPr>
                <w:rFonts w:ascii="Arial" w:cs="Arial" w:eastAsia="Arial" w:hAnsi="Arial"/>
                <w:sz w:val="15"/>
                <w:szCs w:val="15"/>
                <w:color w:val="auto"/>
              </w:rPr>
              <w:t>Refund Transfers</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119,935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113,732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121,416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115,229</w:t>
            </w:r>
          </w:p>
        </w:tc>
      </w:tr>
      <w:tr>
        <w:trPr>
          <w:trHeight w:val="206"/>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Peace of Mind® Extended Service Plan</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14,347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15,625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54,087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54,867</w:t>
            </w:r>
          </w:p>
        </w:tc>
      </w:tr>
      <w:tr>
        <w:trPr>
          <w:trHeight w:val="206"/>
        </w:trPr>
        <w:tc>
          <w:tcPr>
            <w:tcW w:w="4160" w:type="dxa"/>
            <w:vAlign w:val="bottom"/>
            <w:gridSpan w:val="2"/>
          </w:tcPr>
          <w:p>
            <w:pPr>
              <w:ind w:left="140"/>
              <w:spacing w:after="0"/>
              <w:rPr>
                <w:sz w:val="20"/>
                <w:szCs w:val="20"/>
                <w:color w:val="auto"/>
              </w:rPr>
            </w:pPr>
            <w:r>
              <w:rPr>
                <w:rFonts w:ascii="Arial" w:cs="Arial" w:eastAsia="Arial" w:hAnsi="Arial"/>
                <w:sz w:val="15"/>
                <w:szCs w:val="15"/>
                <w:color w:val="auto"/>
              </w:rPr>
              <w:t>Tax Identity Shield®</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8,485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7,025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16,851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14,947</w:t>
            </w:r>
          </w:p>
        </w:tc>
      </w:tr>
      <w:tr>
        <w:trPr>
          <w:trHeight w:val="206"/>
        </w:trPr>
        <w:tc>
          <w:tcPr>
            <w:tcW w:w="4160" w:type="dxa"/>
            <w:vAlign w:val="bottom"/>
            <w:gridSpan w:val="2"/>
            <w:shd w:val="clear" w:color="auto" w:fill="CCEEFF"/>
          </w:tcPr>
          <w:p>
            <w:pPr>
              <w:ind w:left="140"/>
              <w:spacing w:after="0" w:line="207"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39,590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40,195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56,566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59,169</w:t>
            </w:r>
          </w:p>
        </w:tc>
      </w:tr>
      <w:tr>
        <w:trPr>
          <w:trHeight w:val="206"/>
        </w:trPr>
        <w:tc>
          <w:tcPr>
            <w:tcW w:w="4160" w:type="dxa"/>
            <w:vAlign w:val="bottom"/>
            <w:gridSpan w:val="2"/>
          </w:tcPr>
          <w:p>
            <w:pPr>
              <w:ind w:left="140"/>
              <w:spacing w:after="0"/>
              <w:rPr>
                <w:sz w:val="20"/>
                <w:szCs w:val="20"/>
                <w:color w:val="auto"/>
              </w:rPr>
            </w:pPr>
            <w:r>
              <w:rPr>
                <w:rFonts w:ascii="Arial" w:cs="Arial" w:eastAsia="Arial" w:hAnsi="Arial"/>
                <w:sz w:val="15"/>
                <w:szCs w:val="15"/>
                <w:color w:val="auto"/>
              </w:rPr>
              <w:t>Interest and fee income on Emerald Advance®</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15,198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14,286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28,644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26,594</w:t>
            </w:r>
          </w:p>
        </w:tc>
      </w:tr>
      <w:tr>
        <w:trPr>
          <w:trHeight w:val="206"/>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70,119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60,438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170,498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157,104</w:t>
            </w:r>
          </w:p>
        </w:tc>
      </w:tr>
      <w:tr>
        <w:trPr>
          <w:trHeight w:val="206"/>
        </w:trPr>
        <w:tc>
          <w:tcPr>
            <w:tcW w:w="4160" w:type="dxa"/>
            <w:vAlign w:val="bottom"/>
            <w:gridSpan w:val="2"/>
          </w:tcPr>
          <w:p>
            <w:pPr>
              <w:ind w:left="140"/>
              <w:spacing w:after="0"/>
              <w:rPr>
                <w:sz w:val="20"/>
                <w:szCs w:val="20"/>
                <w:color w:val="auto"/>
              </w:rPr>
            </w:pPr>
            <w:r>
              <w:rPr>
                <w:rFonts w:ascii="Arial" w:cs="Arial" w:eastAsia="Arial" w:hAnsi="Arial"/>
                <w:sz w:val="15"/>
                <w:szCs w:val="15"/>
                <w:color w:val="auto"/>
              </w:rPr>
              <w:t>Wave</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29,871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26,717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89,506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79,681</w:t>
            </w:r>
          </w:p>
        </w:tc>
      </w:tr>
      <w:tr>
        <w:trPr>
          <w:trHeight w:val="206"/>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15,000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14,582</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41,321</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40,215</w:t>
            </w:r>
          </w:p>
        </w:tc>
      </w:tr>
      <w:tr>
        <w:trPr>
          <w:trHeight w:val="236"/>
        </w:trPr>
        <w:tc>
          <w:tcPr>
            <w:tcW w:w="4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revenues</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2,398,107</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2,277,104</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2,800,523</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2,649,984</w:t>
            </w:r>
          </w:p>
        </w:tc>
      </w:tr>
      <w:tr>
        <w:trPr>
          <w:trHeight w:val="20"/>
        </w:trPr>
        <w:tc>
          <w:tcPr>
            <w:tcW w:w="40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r>
    </w:tbl>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Changes in the balances of deferred revenue and wages for our Peace of Mind® Extended Service Plan (POM)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POM</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Deferred Revenue</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Deferred Wages</w:t>
            </w: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Nine months ended March 31,</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Balance, beginning of the period</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149,302</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156,610</w:t>
            </w:r>
          </w:p>
        </w:tc>
        <w:tc>
          <w:tcPr>
            <w:tcW w:w="8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19,884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20,212</w:t>
            </w:r>
          </w:p>
        </w:tc>
      </w:tr>
      <w:tr>
        <w:trPr>
          <w:trHeight w:val="20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Amounts deferred</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83,409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70,536</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9,355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7,222</w:t>
            </w:r>
          </w:p>
        </w:tc>
      </w:tr>
      <w:tr>
        <w:trPr>
          <w:trHeight w:val="206"/>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Amounts recognized on previous deferrals</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(61,743)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(64,885)</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(7,925)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(8,396)</w:t>
            </w:r>
          </w:p>
        </w:tc>
      </w:tr>
      <w:tr>
        <w:trPr>
          <w:trHeight w:val="19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end of the period</w:t>
            </w: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170,968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162,261</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21,314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19,038</w:t>
            </w:r>
          </w:p>
        </w:tc>
      </w:tr>
      <w:tr>
        <w:trPr>
          <w:trHeight w:val="32"/>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7"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As of March 31, 2026, deferred revenue related to POM was $171.0 million. We expect that $91.9 million will be recognized over the next twelve months, while the remaining balance will be recognized over the following five years.</w:t>
      </w:r>
    </w:p>
    <w:p>
      <w:pPr>
        <w:spacing w:after="0" w:line="43"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As of March 31, 2026 and 2025, Tax Identity Shield® (TIS) deferred revenue was $37.6 million and $31.2 million, respectively. Deferred revenue related to TIS was $22.6 million and $21.4 million as of June 30, 2025 and 2024, respectively. All deferred revenue related to TIS will be recognized by April 2027.</w:t>
      </w:r>
    </w:p>
    <w:p>
      <w:pPr>
        <w:spacing w:after="0" w:line="54"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3: EARNINGS PER SHARE AND STOCKHOLDERS' EQUITY</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 Basic and diluted earnings (loss) per share is computed using the two-class method. The two-class method is an</w:t>
      </w:r>
      <w:r>
        <w:rPr>
          <w:rFonts w:ascii="Arial" w:cs="Arial" w:eastAsia="Arial" w:hAnsi="Arial"/>
          <w:sz w:val="17"/>
          <w:szCs w:val="17"/>
          <w:b w:val="1"/>
          <w:bCs w:val="1"/>
          <w:color w:val="auto"/>
        </w:rPr>
        <w:t xml:space="preserve"> </w:t>
      </w:r>
      <w:r>
        <w:rPr>
          <w:rFonts w:ascii="Arial" w:cs="Arial" w:eastAsia="Arial" w:hAnsi="Arial"/>
          <w:sz w:val="17"/>
          <w:szCs w:val="17"/>
          <w:color w:val="auto"/>
        </w:rPr>
        <w:t>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1.3 million and 0.8 million shares for the three and nine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601980</wp:posOffset>
            </wp:positionV>
            <wp:extent cx="220980"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sz w:val="20"/>
          <w:szCs w:val="20"/>
          <w:color w:val="auto"/>
        </w:rPr>
        <w:tab/>
      </w:r>
      <w:r>
        <w:rPr>
          <w:rFonts w:ascii="Arial" w:cs="Arial" w:eastAsia="Arial" w:hAnsi="Arial"/>
          <w:sz w:val="10"/>
          <w:szCs w:val="10"/>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respectively, and 0.6 million and 0.5 million shares for the three and nine months ended March 31, 2025, respectively, as the effect would be antidilutive.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computations of basic and diluted earnings per share from continuing operations are as follows:</w:t>
      </w:r>
    </w:p>
    <w:p>
      <w:pPr>
        <w:spacing w:after="0" w:line="149" w:lineRule="exact"/>
        <w:rPr>
          <w:sz w:val="20"/>
          <w:szCs w:val="20"/>
          <w:color w:val="auto"/>
        </w:rPr>
      </w:pPr>
    </w:p>
    <w:p>
      <w:pPr>
        <w:ind w:left="9020"/>
        <w:spacing w:after="0"/>
        <w:rPr>
          <w:sz w:val="20"/>
          <w:szCs w:val="20"/>
          <w:color w:val="auto"/>
        </w:rPr>
      </w:pPr>
      <w:r>
        <w:rPr>
          <w:rFonts w:ascii="Arial" w:cs="Arial" w:eastAsia="Arial" w:hAnsi="Arial"/>
          <w:sz w:val="13"/>
          <w:szCs w:val="13"/>
          <w:color w:val="auto"/>
        </w:rPr>
        <w:t>(in 000s,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5"/>
          </w:tcPr>
          <w:p>
            <w:pPr>
              <w:ind w:left="220"/>
              <w:spacing w:after="0"/>
              <w:rPr>
                <w:sz w:val="20"/>
                <w:szCs w:val="20"/>
                <w:color w:val="auto"/>
              </w:rPr>
            </w:pPr>
            <w:r>
              <w:rPr>
                <w:rFonts w:ascii="Arial" w:cs="Arial" w:eastAsia="Arial" w:hAnsi="Arial"/>
                <w:sz w:val="15"/>
                <w:szCs w:val="15"/>
                <w:color w:val="auto"/>
              </w:rPr>
              <w:t>Three months ended March 31,</w:t>
            </w:r>
          </w:p>
        </w:tc>
        <w:tc>
          <w:tcPr>
            <w:tcW w:w="36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4"/>
          </w:tcPr>
          <w:p>
            <w:pPr>
              <w:jc w:val="right"/>
              <w:ind w:right="523"/>
              <w:spacing w:after="0"/>
              <w:rPr>
                <w:sz w:val="20"/>
                <w:szCs w:val="20"/>
                <w:color w:val="auto"/>
              </w:rPr>
            </w:pPr>
            <w:r>
              <w:rPr>
                <w:rFonts w:ascii="Arial" w:cs="Arial" w:eastAsia="Arial" w:hAnsi="Arial"/>
                <w:sz w:val="15"/>
                <w:szCs w:val="15"/>
                <w:color w:val="auto"/>
              </w:rPr>
              <w:t>Nine months ended March 31,</w:t>
            </w:r>
          </w:p>
        </w:tc>
        <w:tc>
          <w:tcPr>
            <w:tcW w:w="0" w:type="dxa"/>
            <w:vAlign w:val="bottom"/>
          </w:tcPr>
          <w:p>
            <w:pPr>
              <w:spacing w:after="0"/>
              <w:rPr>
                <w:sz w:val="1"/>
                <w:szCs w:val="1"/>
                <w:color w:val="auto"/>
              </w:rPr>
            </w:pPr>
          </w:p>
        </w:tc>
      </w:tr>
      <w:tr>
        <w:trPr>
          <w:trHeight w:val="200"/>
        </w:trPr>
        <w:tc>
          <w:tcPr>
            <w:tcW w:w="4580" w:type="dxa"/>
            <w:vAlign w:val="bottom"/>
            <w:vMerge w:val="restart"/>
          </w:tcPr>
          <w:p>
            <w:pPr>
              <w:ind w:left="20"/>
              <w:spacing w:after="0"/>
              <w:rPr>
                <w:sz w:val="20"/>
                <w:szCs w:val="20"/>
                <w:color w:val="auto"/>
              </w:rPr>
            </w:pPr>
            <w:r>
              <w:rPr>
                <w:rFonts w:ascii="Arial" w:cs="Arial" w:eastAsia="Arial" w:hAnsi="Arial"/>
                <w:sz w:val="15"/>
                <w:szCs w:val="15"/>
                <w:color w:val="auto"/>
              </w:rPr>
              <w:t>Net income from continuing operations attributable to</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135"/>
        </w:trPr>
        <w:tc>
          <w:tcPr>
            <w:tcW w:w="4580" w:type="dxa"/>
            <w:vAlign w:val="bottom"/>
            <w:vMerge w:val="continue"/>
          </w:tcPr>
          <w:p>
            <w:pPr>
              <w:spacing w:after="0"/>
              <w:rPr>
                <w:sz w:val="11"/>
                <w:szCs w:val="11"/>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848,780</w:t>
            </w:r>
          </w:p>
        </w:tc>
        <w:tc>
          <w:tcPr>
            <w:tcW w:w="80" w:type="dxa"/>
            <w:vAlign w:val="bottom"/>
          </w:tcPr>
          <w:p>
            <w:pPr>
              <w:spacing w:after="0"/>
              <w:rPr>
                <w:sz w:val="11"/>
                <w:szCs w:val="11"/>
                <w:color w:val="auto"/>
              </w:rPr>
            </w:pPr>
          </w:p>
        </w:tc>
        <w:tc>
          <w:tcPr>
            <w:tcW w:w="540" w:type="dxa"/>
            <w:vAlign w:val="bottom"/>
            <w:vMerge w:val="restart"/>
          </w:tcPr>
          <w:p>
            <w:pPr>
              <w:jc w:val="right"/>
              <w:ind w:right="343"/>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722,928</w:t>
            </w:r>
          </w:p>
        </w:tc>
        <w:tc>
          <w:tcPr>
            <w:tcW w:w="100" w:type="dxa"/>
            <w:vAlign w:val="bottom"/>
          </w:tcPr>
          <w:p>
            <w:pPr>
              <w:spacing w:after="0"/>
              <w:rPr>
                <w:sz w:val="11"/>
                <w:szCs w:val="11"/>
                <w:color w:val="auto"/>
              </w:rPr>
            </w:pP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441,846</w:t>
            </w:r>
          </w:p>
        </w:tc>
        <w:tc>
          <w:tcPr>
            <w:tcW w:w="80" w:type="dxa"/>
            <w:vAlign w:val="bottom"/>
          </w:tcPr>
          <w:p>
            <w:pPr>
              <w:spacing w:after="0"/>
              <w:rPr>
                <w:sz w:val="11"/>
                <w:szCs w:val="11"/>
                <w:color w:val="auto"/>
              </w:rPr>
            </w:pPr>
          </w:p>
        </w:tc>
        <w:tc>
          <w:tcPr>
            <w:tcW w:w="540" w:type="dxa"/>
            <w:vAlign w:val="bottom"/>
            <w:vMerge w:val="restart"/>
          </w:tcPr>
          <w:p>
            <w:pPr>
              <w:jc w:val="right"/>
              <w:ind w:right="3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309,041</w:t>
            </w:r>
          </w:p>
        </w:tc>
        <w:tc>
          <w:tcPr>
            <w:tcW w:w="0" w:type="dxa"/>
            <w:vAlign w:val="bottom"/>
          </w:tcPr>
          <w:p>
            <w:pPr>
              <w:spacing w:after="0"/>
              <w:rPr>
                <w:sz w:val="1"/>
                <w:szCs w:val="1"/>
                <w:color w:val="auto"/>
              </w:rPr>
            </w:pPr>
          </w:p>
        </w:tc>
      </w:tr>
      <w:tr>
        <w:trPr>
          <w:trHeight w:val="206"/>
        </w:trPr>
        <w:tc>
          <w:tcPr>
            <w:tcW w:w="4580" w:type="dxa"/>
            <w:vAlign w:val="bottom"/>
          </w:tcPr>
          <w:p>
            <w:pPr>
              <w:ind w:left="180"/>
              <w:spacing w:after="0"/>
              <w:rPr>
                <w:sz w:val="20"/>
                <w:szCs w:val="20"/>
                <w:color w:val="auto"/>
              </w:rPr>
            </w:pPr>
            <w:r>
              <w:rPr>
                <w:rFonts w:ascii="Arial" w:cs="Arial" w:eastAsia="Arial" w:hAnsi="Arial"/>
                <w:sz w:val="15"/>
                <w:szCs w:val="15"/>
                <w:color w:val="auto"/>
              </w:rPr>
              <w:t>shareholders</w:t>
            </w:r>
          </w:p>
        </w:tc>
        <w:tc>
          <w:tcPr>
            <w:tcW w:w="3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allocated to participating securities</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(4,250)</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(2,193)</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(1,408)</w:t>
            </w:r>
          </w:p>
        </w:tc>
        <w:tc>
          <w:tcPr>
            <w:tcW w:w="0" w:type="dxa"/>
            <w:vAlign w:val="bottom"/>
          </w:tcPr>
          <w:p>
            <w:pPr>
              <w:spacing w:after="0"/>
              <w:rPr>
                <w:sz w:val="1"/>
                <w:szCs w:val="1"/>
                <w:color w:val="auto"/>
              </w:rPr>
            </w:pPr>
          </w:p>
        </w:tc>
      </w:tr>
      <w:tr>
        <w:trPr>
          <w:trHeight w:val="135"/>
        </w:trPr>
        <w:tc>
          <w:tcPr>
            <w:tcW w:w="4580" w:type="dxa"/>
            <w:vAlign w:val="bottom"/>
          </w:tcPr>
          <w:p>
            <w:pPr>
              <w:ind w:left="20"/>
              <w:spacing w:after="0" w:line="136" w:lineRule="exact"/>
              <w:rPr>
                <w:sz w:val="20"/>
                <w:szCs w:val="20"/>
                <w:color w:val="auto"/>
              </w:rPr>
            </w:pPr>
            <w:r>
              <w:rPr>
                <w:rFonts w:ascii="Arial" w:cs="Arial" w:eastAsia="Arial" w:hAnsi="Arial"/>
                <w:sz w:val="15"/>
                <w:szCs w:val="15"/>
                <w:color w:val="auto"/>
              </w:rPr>
              <w:t>Net income from continuing operations attributable to common</w:t>
            </w: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844,530</w:t>
            </w:r>
          </w:p>
        </w:tc>
        <w:tc>
          <w:tcPr>
            <w:tcW w:w="80" w:type="dxa"/>
            <w:vAlign w:val="bottom"/>
          </w:tcPr>
          <w:p>
            <w:pPr>
              <w:spacing w:after="0"/>
              <w:rPr>
                <w:sz w:val="11"/>
                <w:szCs w:val="11"/>
                <w:color w:val="auto"/>
              </w:rPr>
            </w:pPr>
          </w:p>
        </w:tc>
        <w:tc>
          <w:tcPr>
            <w:tcW w:w="540" w:type="dxa"/>
            <w:vAlign w:val="bottom"/>
            <w:vMerge w:val="restart"/>
          </w:tcPr>
          <w:p>
            <w:pPr>
              <w:jc w:val="right"/>
              <w:ind w:right="343"/>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719,486</w:t>
            </w:r>
          </w:p>
        </w:tc>
        <w:tc>
          <w:tcPr>
            <w:tcW w:w="100" w:type="dxa"/>
            <w:vAlign w:val="bottom"/>
          </w:tcPr>
          <w:p>
            <w:pPr>
              <w:spacing w:after="0"/>
              <w:rPr>
                <w:sz w:val="11"/>
                <w:szCs w:val="11"/>
                <w:color w:val="auto"/>
              </w:rPr>
            </w:pPr>
          </w:p>
        </w:tc>
        <w:tc>
          <w:tcPr>
            <w:tcW w:w="360" w:type="dxa"/>
            <w:vAlign w:val="bottom"/>
            <w:vMerge w:val="restart"/>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439,653</w:t>
            </w:r>
          </w:p>
        </w:tc>
        <w:tc>
          <w:tcPr>
            <w:tcW w:w="80" w:type="dxa"/>
            <w:vAlign w:val="bottom"/>
          </w:tcPr>
          <w:p>
            <w:pPr>
              <w:spacing w:after="0"/>
              <w:rPr>
                <w:sz w:val="11"/>
                <w:szCs w:val="11"/>
                <w:color w:val="auto"/>
              </w:rPr>
            </w:pPr>
          </w:p>
        </w:tc>
        <w:tc>
          <w:tcPr>
            <w:tcW w:w="540" w:type="dxa"/>
            <w:vAlign w:val="bottom"/>
            <w:vMerge w:val="restart"/>
          </w:tcPr>
          <w:p>
            <w:pPr>
              <w:jc w:val="right"/>
              <w:ind w:right="3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307,633</w:t>
            </w:r>
          </w:p>
        </w:tc>
        <w:tc>
          <w:tcPr>
            <w:tcW w:w="0" w:type="dxa"/>
            <w:vAlign w:val="bottom"/>
          </w:tcPr>
          <w:p>
            <w:pPr>
              <w:spacing w:after="0"/>
              <w:rPr>
                <w:sz w:val="1"/>
                <w:szCs w:val="1"/>
                <w:color w:val="auto"/>
              </w:rPr>
            </w:pPr>
          </w:p>
        </w:tc>
      </w:tr>
      <w:tr>
        <w:trPr>
          <w:trHeight w:val="206"/>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shareholders</w:t>
            </w:r>
          </w:p>
        </w:tc>
        <w:tc>
          <w:tcPr>
            <w:tcW w:w="34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20"/>
              <w:spacing w:after="0"/>
              <w:rPr>
                <w:sz w:val="20"/>
                <w:szCs w:val="20"/>
                <w:color w:val="auto"/>
              </w:rPr>
            </w:pPr>
            <w:r>
              <w:rPr>
                <w:rFonts w:ascii="Arial" w:cs="Arial" w:eastAsia="Arial" w:hAnsi="Arial"/>
                <w:sz w:val="15"/>
                <w:szCs w:val="15"/>
                <w:color w:val="auto"/>
              </w:rPr>
              <w:t>Basic weighted average common shares</w:t>
            </w:r>
          </w:p>
        </w:tc>
        <w:tc>
          <w:tcPr>
            <w:tcW w:w="34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b w:val="1"/>
                <w:bCs w:val="1"/>
                <w:color w:val="auto"/>
              </w:rPr>
              <w:t>126,760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133,853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b w:val="1"/>
                <w:bCs w:val="1"/>
                <w:color w:val="auto"/>
              </w:rPr>
              <w:t>128,248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136,207</w:t>
            </w: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Potential dilutive shares</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1,053</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1,241</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1,737</w:t>
            </w:r>
          </w:p>
        </w:tc>
        <w:tc>
          <w:tcPr>
            <w:tcW w:w="0" w:type="dxa"/>
            <w:vAlign w:val="bottom"/>
          </w:tcPr>
          <w:p>
            <w:pPr>
              <w:spacing w:after="0"/>
              <w:rPr>
                <w:sz w:val="1"/>
                <w:szCs w:val="1"/>
                <w:color w:val="auto"/>
              </w:rPr>
            </w:pPr>
          </w:p>
        </w:tc>
      </w:tr>
      <w:tr>
        <w:trPr>
          <w:trHeight w:val="19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Dilutive weighted average common shares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127,813</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135,329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129,489</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137,944</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580" w:type="dxa"/>
            <w:vAlign w:val="bottom"/>
          </w:tcPr>
          <w:p>
            <w:pPr>
              <w:ind w:left="20"/>
              <w:spacing w:after="0" w:line="156" w:lineRule="exact"/>
              <w:rPr>
                <w:sz w:val="20"/>
                <w:szCs w:val="20"/>
                <w:color w:val="auto"/>
              </w:rPr>
            </w:pPr>
            <w:r>
              <w:rPr>
                <w:rFonts w:ascii="Arial" w:cs="Arial" w:eastAsia="Arial" w:hAnsi="Arial"/>
                <w:sz w:val="15"/>
                <w:szCs w:val="15"/>
                <w:color w:val="auto"/>
              </w:rPr>
              <w:t>Earnings per share from continuing operations attributable to</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80" w:type="dxa"/>
            <w:vAlign w:val="bottom"/>
          </w:tcPr>
          <w:p>
            <w:pPr>
              <w:ind w:left="180"/>
              <w:spacing w:after="0"/>
              <w:rPr>
                <w:sz w:val="20"/>
                <w:szCs w:val="20"/>
                <w:color w:val="auto"/>
              </w:rPr>
            </w:pPr>
            <w:r>
              <w:rPr>
                <w:rFonts w:ascii="Arial" w:cs="Arial" w:eastAsia="Arial" w:hAnsi="Arial"/>
                <w:sz w:val="15"/>
                <w:szCs w:val="15"/>
                <w:color w:val="auto"/>
              </w:rPr>
              <w:t>common shareholders: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6.66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3.43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Diluted</w:t>
            </w:r>
          </w:p>
        </w:tc>
        <w:tc>
          <w:tcPr>
            <w:tcW w:w="3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b w:val="1"/>
                <w:bCs w:val="1"/>
                <w:color w:val="auto"/>
              </w:rPr>
              <w:t>6.61</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5.32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b w:val="1"/>
                <w:bCs w:val="1"/>
                <w:color w:val="auto"/>
              </w:rPr>
              <w:t>3.40</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decrease in the weighted average shares outstanding is due to share repurchases completed in the current and prior fiscal years.</w:t>
      </w:r>
    </w:p>
    <w:p>
      <w:pPr>
        <w:spacing w:after="0" w:line="112" w:lineRule="exact"/>
        <w:rPr>
          <w:sz w:val="20"/>
          <w:szCs w:val="20"/>
          <w:color w:val="auto"/>
        </w:rPr>
      </w:pPr>
    </w:p>
    <w:p>
      <w:pPr>
        <w:jc w:val="both"/>
        <w:ind w:firstLine="232"/>
        <w:spacing w:after="0" w:line="263"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We granted 1.0 million and 1.1 million shares, including adjustments for performance achievement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equivalents, under our stock-based compensation plans during the nine months ended March 31, 2026 and 2025, respectively. Stock-based compensation expense of our continuing operations totaled $8.4 million and $ 22.2 million for the three and nine months ended March 31, 2026, respectively, and $7.5 million and $25.4 million for the three and nine months ended March 31, 2025, respectively. As of March 31, 2026, unrecognized compensation cost for nonvested shares and units totaled $55.3 million.</w:t>
      </w:r>
    </w:p>
    <w:p>
      <w:pPr>
        <w:spacing w:after="0" w:line="60"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4: RECEIVABLES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Receivables, net of their related allowance,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5"/>
                <w:szCs w:val="15"/>
                <w:b w:val="1"/>
                <w:bCs w:val="1"/>
                <w:color w:val="auto"/>
              </w:rPr>
              <w:t>March 31, 2026</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5"/>
                <w:szCs w:val="15"/>
                <w:color w:val="auto"/>
              </w:rPr>
              <w:t>June 30, 2025</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5"/>
                <w:szCs w:val="15"/>
                <w:color w:val="auto"/>
              </w:rPr>
              <w:t>Short-term</w:t>
            </w:r>
          </w:p>
        </w:tc>
        <w:tc>
          <w:tcPr>
            <w:tcW w:w="6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5"/>
                <w:szCs w:val="15"/>
                <w:color w:val="auto"/>
              </w:rPr>
              <w:t>Long-term</w:t>
            </w:r>
          </w:p>
        </w:tc>
        <w:tc>
          <w:tcPr>
            <w:tcW w:w="46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5"/>
                <w:szCs w:val="15"/>
                <w:color w:val="auto"/>
              </w:rPr>
              <w:t>Short-term</w:t>
            </w: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Long-term</w:t>
            </w:r>
          </w:p>
        </w:tc>
        <w:tc>
          <w:tcPr>
            <w:tcW w:w="0" w:type="dxa"/>
            <w:vAlign w:val="bottom"/>
          </w:tcPr>
          <w:p>
            <w:pPr>
              <w:spacing w:after="0"/>
              <w:rPr>
                <w:sz w:val="1"/>
                <w:szCs w:val="1"/>
                <w:color w:val="auto"/>
              </w:rPr>
            </w:pPr>
          </w:p>
        </w:tc>
      </w:tr>
      <w:tr>
        <w:trPr>
          <w:trHeight w:val="201"/>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Loans to franchisees</w:t>
            </w:r>
          </w:p>
        </w:tc>
        <w:tc>
          <w:tcPr>
            <w:tcW w:w="440" w:type="dxa"/>
            <w:vAlign w:val="bottom"/>
            <w:tcBorders>
              <w:top w:val="single" w:sz="8" w:color="auto"/>
            </w:tcBorders>
          </w:tcPr>
          <w:p>
            <w:pPr>
              <w:jc w:val="right"/>
              <w:ind w:right="26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16,438</w:t>
            </w:r>
          </w:p>
        </w:tc>
        <w:tc>
          <w:tcPr>
            <w:tcW w:w="80" w:type="dxa"/>
            <w:vAlign w:val="bottom"/>
          </w:tcPr>
          <w:p>
            <w:pPr>
              <w:spacing w:after="0"/>
              <w:rPr>
                <w:sz w:val="17"/>
                <w:szCs w:val="17"/>
                <w:color w:val="auto"/>
              </w:rPr>
            </w:pPr>
          </w:p>
        </w:tc>
        <w:tc>
          <w:tcPr>
            <w:tcW w:w="660" w:type="dxa"/>
            <w:vAlign w:val="bottom"/>
            <w:tcBorders>
              <w:top w:val="single" w:sz="8" w:color="auto"/>
            </w:tcBorders>
          </w:tcPr>
          <w:p>
            <w:pPr>
              <w:jc w:val="right"/>
              <w:ind w:right="48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11,349</w:t>
            </w:r>
          </w:p>
        </w:tc>
        <w:tc>
          <w:tcPr>
            <w:tcW w:w="80" w:type="dxa"/>
            <w:vAlign w:val="bottom"/>
          </w:tcPr>
          <w:p>
            <w:pPr>
              <w:spacing w:after="0"/>
              <w:rPr>
                <w:sz w:val="17"/>
                <w:szCs w:val="17"/>
                <w:color w:val="auto"/>
              </w:rPr>
            </w:pPr>
          </w:p>
        </w:tc>
        <w:tc>
          <w:tcPr>
            <w:tcW w:w="46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7,386</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16,402</w:t>
            </w:r>
          </w:p>
        </w:tc>
        <w:tc>
          <w:tcPr>
            <w:tcW w:w="0" w:type="dxa"/>
            <w:vAlign w:val="bottom"/>
          </w:tcPr>
          <w:p>
            <w:pPr>
              <w:spacing w:after="0"/>
              <w:rPr>
                <w:sz w:val="1"/>
                <w:szCs w:val="1"/>
                <w:color w:val="auto"/>
              </w:rPr>
            </w:pPr>
          </w:p>
        </w:tc>
      </w:tr>
      <w:tr>
        <w:trPr>
          <w:trHeight w:val="155"/>
        </w:trPr>
        <w:tc>
          <w:tcPr>
            <w:tcW w:w="48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Receivables for U.S. assisted and DIY tax preparation and related</w:t>
            </w:r>
          </w:p>
        </w:tc>
        <w:tc>
          <w:tcPr>
            <w:tcW w:w="4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179,870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11,250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15,896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6,361</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fees</w:t>
            </w:r>
          </w:p>
        </w:tc>
        <w:tc>
          <w:tcPr>
            <w:tcW w:w="4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H&amp;R Block's Instant Refund® receivables</w:t>
            </w:r>
          </w:p>
        </w:tc>
        <w:tc>
          <w:tcPr>
            <w:tcW w:w="4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17,294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b w:val="1"/>
                <w:bCs w:val="1"/>
                <w:color w:val="auto"/>
              </w:rPr>
              <w:t>789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2,243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939</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Emerald Advance®</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20,101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24,219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13,899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22,816</w:t>
            </w:r>
          </w:p>
        </w:tc>
        <w:tc>
          <w:tcPr>
            <w:tcW w:w="0" w:type="dxa"/>
            <w:vAlign w:val="bottom"/>
          </w:tcPr>
          <w:p>
            <w:pPr>
              <w:spacing w:after="0"/>
              <w:rPr>
                <w:sz w:val="1"/>
                <w:szCs w:val="1"/>
                <w:color w:val="auto"/>
              </w:rPr>
            </w:pPr>
          </w:p>
        </w:tc>
      </w:tr>
      <w:tr>
        <w:trPr>
          <w:trHeight w:val="206"/>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Software receivables from retailers</w:t>
            </w:r>
          </w:p>
        </w:tc>
        <w:tc>
          <w:tcPr>
            <w:tcW w:w="4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7,313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2,582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Royalties and other receivables from franchisees</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33,671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Wave payment processing receivables</w:t>
            </w:r>
          </w:p>
        </w:tc>
        <w:tc>
          <w:tcPr>
            <w:tcW w:w="4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6,274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1,533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16,675</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597</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15,668</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236"/>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297,636</w:t>
            </w: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48,204</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63,621</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47,016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662940</wp:posOffset>
            </wp:positionV>
            <wp:extent cx="212725"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228"/>
        <w:spacing w:after="0"/>
        <w:tabs>
          <w:tab w:leader="none" w:pos="36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Balances presented above as short-term are included in receivables, while the long-term portions are included in other noncurrent assets in the consolidated balance sheets.</w:t>
      </w:r>
    </w:p>
    <w:p>
      <w:pPr>
        <w:spacing w:after="0" w:line="41" w:lineRule="exact"/>
        <w:rPr>
          <w:sz w:val="20"/>
          <w:szCs w:val="20"/>
          <w:color w:val="auto"/>
        </w:rPr>
      </w:pPr>
    </w:p>
    <w:p>
      <w:pPr>
        <w:jc w:val="both"/>
        <w:ind w:firstLine="193"/>
        <w:spacing w:after="0" w:line="272" w:lineRule="auto"/>
        <w:rPr>
          <w:sz w:val="20"/>
          <w:szCs w:val="20"/>
          <w:color w:val="auto"/>
        </w:rPr>
      </w:pPr>
      <w:r>
        <w:rPr>
          <w:rFonts w:ascii="Arial" w:cs="Arial" w:eastAsia="Arial" w:hAnsi="Arial"/>
          <w:sz w:val="17"/>
          <w:szCs w:val="17"/>
          <w:b w:val="1"/>
          <w:bCs w:val="1"/>
          <w:color w:val="auto"/>
        </w:rPr>
        <w:t xml:space="preserve">LOANS TO FRANCHISEES </w:t>
      </w:r>
      <w:r>
        <w:rPr>
          <w:rFonts w:ascii="Arial" w:cs="Arial" w:eastAsia="Arial" w:hAnsi="Arial"/>
          <w:sz w:val="17"/>
          <w:szCs w:val="17"/>
          <w:color w:val="auto"/>
        </w:rPr>
        <w:t>– Franchisee loan balances consist of term loans made primarily to finance the purchase of franchises and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lines of credit primarily for the purpose of funding working capital needs. Loans with a principal balance more than 90 days past due or on non-accrual status were $3.0 million and $3.1 million as of March 31, 2026 and June 30, 2025, respectively.</w:t>
      </w:r>
    </w:p>
    <w:p>
      <w:pPr>
        <w:spacing w:after="0" w:line="57" w:lineRule="exact"/>
        <w:rPr>
          <w:sz w:val="20"/>
          <w:szCs w:val="20"/>
          <w:color w:val="auto"/>
        </w:rPr>
      </w:pPr>
    </w:p>
    <w:p>
      <w:pPr>
        <w:ind w:firstLine="193"/>
        <w:spacing w:after="0" w:line="292" w:lineRule="auto"/>
        <w:rPr>
          <w:sz w:val="20"/>
          <w:szCs w:val="20"/>
          <w:color w:val="auto"/>
        </w:rPr>
      </w:pPr>
      <w:r>
        <w:rPr>
          <w:rFonts w:ascii="Arial" w:cs="Arial" w:eastAsia="Arial" w:hAnsi="Arial"/>
          <w:sz w:val="17"/>
          <w:szCs w:val="17"/>
          <w:b w:val="1"/>
          <w:bCs w:val="1"/>
          <w:color w:val="auto"/>
        </w:rPr>
        <w:t>H&amp;R BLOCK'S INSTANT REFUND</w:t>
      </w:r>
      <w:r>
        <w:rPr>
          <w:rFonts w:ascii="Arial" w:cs="Arial" w:eastAsia="Arial" w:hAnsi="Arial"/>
          <w:sz w:val="17"/>
          <w:szCs w:val="17"/>
          <w:color w:val="auto"/>
        </w:rPr>
        <w:t>® – H&amp;R Block's Instant Refund® amounts are generally received from the Canada Revenue Agency within</w:t>
      </w:r>
      <w:r>
        <w:rPr>
          <w:rFonts w:ascii="Arial" w:cs="Arial" w:eastAsia="Arial" w:hAnsi="Arial"/>
          <w:sz w:val="17"/>
          <w:szCs w:val="17"/>
          <w:b w:val="1"/>
          <w:bCs w:val="1"/>
          <w:color w:val="auto"/>
        </w:rPr>
        <w:t xml:space="preserve"> </w:t>
      </w:r>
      <w:r>
        <w:rPr>
          <w:rFonts w:ascii="Arial" w:cs="Arial" w:eastAsia="Arial" w:hAnsi="Arial"/>
          <w:sz w:val="17"/>
          <w:szCs w:val="17"/>
          <w:color w:val="auto"/>
        </w:rPr>
        <w:t>60 days of filing the client's return, with the remaining balance collectible from the client.</w:t>
      </w:r>
    </w:p>
    <w:p>
      <w:pPr>
        <w:spacing w:after="0" w:line="42"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We review the credit quality of our Instant Refund receivables based on pools, which are segregated by the tax return year of origination, with older years being deemed more unlikely to be repaid. We establish an allowance for credit losses at an amount that we believe reflects the receivable at net realizable value. In December of each year, we charge-off the receivables and the related allowance to an amount we believe represents the net realizable value.</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Balances and amounts on non-accrual status, classified as impaired, or more than 60 days past due, by tax return year of origination, as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March 31, 2026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52"/>
        </w:trPr>
        <w:tc>
          <w:tcPr>
            <w:tcW w:w="7280" w:type="dxa"/>
            <w:vAlign w:val="bottom"/>
            <w:gridSpan w:val="2"/>
            <w:vMerge w:val="restart"/>
          </w:tcPr>
          <w:p>
            <w:pPr>
              <w:ind w:left="20"/>
              <w:spacing w:after="0"/>
              <w:rPr>
                <w:sz w:val="20"/>
                <w:szCs w:val="20"/>
                <w:color w:val="auto"/>
              </w:rPr>
            </w:pPr>
            <w:r>
              <w:rPr>
                <w:rFonts w:ascii="Arial" w:cs="Arial" w:eastAsia="Arial" w:hAnsi="Arial"/>
                <w:sz w:val="15"/>
                <w:szCs w:val="15"/>
                <w:color w:val="auto"/>
              </w:rPr>
              <w:t>Tax return year of origination</w:t>
            </w:r>
          </w:p>
        </w:tc>
        <w:tc>
          <w:tcPr>
            <w:tcW w:w="7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Balance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jc w:val="right"/>
              <w:spacing w:after="0" w:line="152" w:lineRule="exact"/>
              <w:rPr>
                <w:sz w:val="20"/>
                <w:szCs w:val="20"/>
                <w:color w:val="auto"/>
              </w:rPr>
            </w:pPr>
            <w:r>
              <w:rPr>
                <w:rFonts w:ascii="Arial" w:cs="Arial" w:eastAsia="Arial" w:hAnsi="Arial"/>
                <w:sz w:val="15"/>
                <w:szCs w:val="15"/>
                <w:color w:val="auto"/>
              </w:rPr>
              <w:t>More Than 60 Days Past</w:t>
            </w:r>
          </w:p>
        </w:tc>
        <w:tc>
          <w:tcPr>
            <w:tcW w:w="0" w:type="dxa"/>
            <w:vAlign w:val="bottom"/>
          </w:tcPr>
          <w:p>
            <w:pPr>
              <w:spacing w:after="0"/>
              <w:rPr>
                <w:sz w:val="1"/>
                <w:szCs w:val="1"/>
                <w:color w:val="auto"/>
              </w:rPr>
            </w:pPr>
          </w:p>
        </w:tc>
      </w:tr>
      <w:tr>
        <w:trPr>
          <w:trHeight w:val="205"/>
        </w:trPr>
        <w:tc>
          <w:tcPr>
            <w:tcW w:w="72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Due</w:t>
            </w:r>
          </w:p>
        </w:tc>
        <w:tc>
          <w:tcPr>
            <w:tcW w:w="0" w:type="dxa"/>
            <w:vAlign w:val="bottom"/>
          </w:tcPr>
          <w:p>
            <w:pPr>
              <w:spacing w:after="0"/>
              <w:rPr>
                <w:sz w:val="1"/>
                <w:szCs w:val="1"/>
                <w:color w:val="auto"/>
              </w:rPr>
            </w:pPr>
          </w:p>
        </w:tc>
      </w:tr>
      <w:tr>
        <w:trPr>
          <w:trHeight w:val="200"/>
        </w:trPr>
        <w:tc>
          <w:tcPr>
            <w:tcW w:w="72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17,482</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79</w:t>
            </w:r>
          </w:p>
        </w:tc>
        <w:tc>
          <w:tcPr>
            <w:tcW w:w="0" w:type="dxa"/>
            <w:vAlign w:val="bottom"/>
          </w:tcPr>
          <w:p>
            <w:pPr>
              <w:spacing w:after="0"/>
              <w:rPr>
                <w:sz w:val="1"/>
                <w:szCs w:val="1"/>
                <w:color w:val="auto"/>
              </w:rPr>
            </w:pPr>
          </w:p>
        </w:tc>
      </w:tr>
      <w:tr>
        <w:trPr>
          <w:trHeight w:val="20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2024 and prior</w:t>
            </w:r>
          </w:p>
        </w:tc>
        <w:tc>
          <w:tcPr>
            <w:tcW w:w="7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1,163</w:t>
            </w:r>
          </w:p>
        </w:tc>
        <w:tc>
          <w:tcPr>
            <w:tcW w:w="0" w:type="dxa"/>
            <w:vAlign w:val="bottom"/>
          </w:tcPr>
          <w:p>
            <w:pPr>
              <w:spacing w:after="0"/>
              <w:rPr>
                <w:sz w:val="1"/>
                <w:szCs w:val="1"/>
                <w:color w:val="auto"/>
              </w:rPr>
            </w:pPr>
          </w:p>
        </w:tc>
      </w:tr>
      <w:tr>
        <w:trPr>
          <w:trHeight w:val="199"/>
        </w:trPr>
        <w:tc>
          <w:tcPr>
            <w:tcW w:w="7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18,645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1,242</w:t>
            </w:r>
          </w:p>
        </w:tc>
        <w:tc>
          <w:tcPr>
            <w:tcW w:w="0" w:type="dxa"/>
            <w:vAlign w:val="bottom"/>
          </w:tcPr>
          <w:p>
            <w:pPr>
              <w:spacing w:after="0"/>
              <w:rPr>
                <w:sz w:val="1"/>
                <w:szCs w:val="1"/>
                <w:color w:val="auto"/>
              </w:rPr>
            </w:pPr>
          </w:p>
        </w:tc>
      </w:tr>
      <w:tr>
        <w:trPr>
          <w:trHeight w:val="18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Allowance</w:t>
            </w:r>
          </w:p>
        </w:tc>
        <w:tc>
          <w:tcPr>
            <w:tcW w:w="7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balance</w:t>
            </w:r>
          </w:p>
        </w:tc>
        <w:tc>
          <w:tcPr>
            <w:tcW w:w="7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18,083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7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b w:val="1"/>
          <w:bCs w:val="1"/>
          <w:color w:val="auto"/>
        </w:rPr>
        <w:t>EMERALD ADVANCE</w:t>
      </w:r>
      <w:r>
        <w:rPr>
          <w:rFonts w:ascii="Arial" w:cs="Arial" w:eastAsia="Arial" w:hAnsi="Arial"/>
          <w:sz w:val="17"/>
          <w:szCs w:val="17"/>
          <w:color w:val="auto"/>
        </w:rPr>
        <w:t>® – We review the credit quality of our purchased participation interests in Emerald Advance® (EA) receivables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pools, which are segregated by the fiscal year of origination, with older years being deemed more unlikely to be repaid. We establish an allowance for credit losses at an amount that we believe reflects the receivable at net realizable value. Typically, in December of each year, we charge-off the receivables and the related allowance for EAs to an amount we believe represents the net realizable value.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Balances and amounts on non-accrual status, classified as impaired, or more than 60 days past due, by fiscal year of origination, as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March 31, 2026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Fiscal year of origination</w:t>
            </w:r>
          </w:p>
        </w:tc>
        <w:tc>
          <w:tcPr>
            <w:tcW w:w="720" w:type="dxa"/>
            <w:vAlign w:val="bottom"/>
          </w:tcPr>
          <w:p>
            <w:pPr>
              <w:spacing w:after="0"/>
              <w:rPr>
                <w:sz w:val="17"/>
                <w:szCs w:val="17"/>
                <w:color w:val="auto"/>
              </w:rPr>
            </w:pPr>
          </w:p>
        </w:tc>
        <w:tc>
          <w:tcPr>
            <w:tcW w:w="1220" w:type="dxa"/>
            <w:vAlign w:val="bottom"/>
          </w:tcPr>
          <w:p>
            <w:pPr>
              <w:jc w:val="center"/>
              <w:ind w:left="543"/>
              <w:spacing w:after="0"/>
              <w:rPr>
                <w:sz w:val="20"/>
                <w:szCs w:val="20"/>
                <w:color w:val="auto"/>
              </w:rPr>
            </w:pPr>
            <w:r>
              <w:rPr>
                <w:rFonts w:ascii="Arial" w:cs="Arial" w:eastAsia="Arial" w:hAnsi="Arial"/>
                <w:sz w:val="15"/>
                <w:szCs w:val="15"/>
                <w:color w:val="auto"/>
              </w:rPr>
              <w:t>Balance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Non-Accrual</w:t>
            </w:r>
          </w:p>
        </w:tc>
      </w:tr>
      <w:tr>
        <w:trPr>
          <w:trHeight w:val="200"/>
        </w:trPr>
        <w:tc>
          <w:tcPr>
            <w:tcW w:w="72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2026</w:t>
            </w:r>
          </w:p>
        </w:tc>
        <w:tc>
          <w:tcPr>
            <w:tcW w:w="80" w:type="dxa"/>
            <w:vAlign w:val="bottom"/>
          </w:tcPr>
          <w:p>
            <w:pPr>
              <w:spacing w:after="0"/>
              <w:rPr>
                <w:sz w:val="17"/>
                <w:szCs w:val="17"/>
                <w:color w:val="auto"/>
              </w:rPr>
            </w:pPr>
          </w:p>
        </w:tc>
        <w:tc>
          <w:tcPr>
            <w:tcW w:w="720" w:type="dxa"/>
            <w:vAlign w:val="bottom"/>
            <w:tcBorders>
              <w:top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w:t>
            </w:r>
          </w:p>
        </w:tc>
        <w:tc>
          <w:tcPr>
            <w:tcW w:w="1220" w:type="dxa"/>
            <w:vAlign w:val="bottom"/>
            <w:tcBorders>
              <w:top w:val="single" w:sz="8" w:color="auto"/>
            </w:tcBorders>
          </w:tcPr>
          <w:p>
            <w:pPr>
              <w:jc w:val="center"/>
              <w:ind w:left="543"/>
              <w:spacing w:after="0"/>
              <w:rPr>
                <w:sz w:val="20"/>
                <w:szCs w:val="20"/>
                <w:color w:val="auto"/>
              </w:rPr>
            </w:pPr>
            <w:r>
              <w:rPr>
                <w:rFonts w:ascii="Arial" w:cs="Arial" w:eastAsia="Arial" w:hAnsi="Arial"/>
                <w:sz w:val="15"/>
                <w:szCs w:val="15"/>
                <w:b w:val="1"/>
                <w:bCs w:val="1"/>
                <w:color w:val="auto"/>
              </w:rPr>
              <w:t>35,495</w:t>
            </w:r>
          </w:p>
        </w:tc>
        <w:tc>
          <w:tcPr>
            <w:tcW w:w="100" w:type="dxa"/>
            <w:vAlign w:val="bottom"/>
          </w:tcPr>
          <w:p>
            <w:pPr>
              <w:spacing w:after="0"/>
              <w:rPr>
                <w:sz w:val="17"/>
                <w:szCs w:val="17"/>
                <w:color w:val="auto"/>
              </w:rPr>
            </w:pPr>
          </w:p>
        </w:tc>
        <w:tc>
          <w:tcPr>
            <w:tcW w:w="580" w:type="dxa"/>
            <w:vAlign w:val="bottom"/>
            <w:tcBorders>
              <w:top w:val="single" w:sz="8" w:color="auto"/>
            </w:tcBorders>
          </w:tcPr>
          <w:p>
            <w:pPr>
              <w:jc w:val="right"/>
              <w:ind w:right="40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0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2025 and prior</w:t>
            </w:r>
          </w:p>
        </w:tc>
        <w:tc>
          <w:tcPr>
            <w:tcW w:w="7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ind w:left="543"/>
              <w:spacing w:after="0"/>
              <w:rPr>
                <w:sz w:val="20"/>
                <w:szCs w:val="20"/>
                <w:color w:val="auto"/>
              </w:rPr>
            </w:pPr>
            <w:r>
              <w:rPr>
                <w:rFonts w:ascii="Arial" w:cs="Arial" w:eastAsia="Arial" w:hAnsi="Arial"/>
                <w:sz w:val="15"/>
                <w:szCs w:val="15"/>
                <w:b w:val="1"/>
                <w:bCs w:val="1"/>
                <w:color w:val="auto"/>
              </w:rPr>
              <w:t>26,403</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26,403</w:t>
            </w:r>
          </w:p>
        </w:tc>
      </w:tr>
      <w:tr>
        <w:trPr>
          <w:trHeight w:val="199"/>
        </w:trPr>
        <w:tc>
          <w:tcPr>
            <w:tcW w:w="7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jc w:val="center"/>
              <w:ind w:left="543"/>
              <w:spacing w:after="0"/>
              <w:rPr>
                <w:sz w:val="20"/>
                <w:szCs w:val="20"/>
                <w:color w:val="auto"/>
              </w:rPr>
            </w:pPr>
            <w:r>
              <w:rPr>
                <w:rFonts w:ascii="Arial" w:cs="Arial" w:eastAsia="Arial" w:hAnsi="Arial"/>
                <w:sz w:val="15"/>
                <w:szCs w:val="15"/>
                <w:b w:val="1"/>
                <w:bCs w:val="1"/>
                <w:color w:val="auto"/>
              </w:rPr>
              <w:t>61,898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26,403</w:t>
            </w:r>
          </w:p>
        </w:tc>
      </w:tr>
      <w:tr>
        <w:trPr>
          <w:trHeight w:val="18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Allowance</w:t>
            </w:r>
          </w:p>
        </w:tc>
        <w:tc>
          <w:tcPr>
            <w:tcW w:w="7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center"/>
              <w:ind w:left="523"/>
              <w:spacing w:after="0"/>
              <w:rPr>
                <w:sz w:val="20"/>
                <w:szCs w:val="20"/>
                <w:color w:val="auto"/>
              </w:rPr>
            </w:pPr>
            <w:r>
              <w:rPr>
                <w:rFonts w:ascii="Arial" w:cs="Arial" w:eastAsia="Arial" w:hAnsi="Arial"/>
                <w:sz w:val="15"/>
                <w:szCs w:val="15"/>
                <w:b w:val="1"/>
                <w:bCs w:val="1"/>
                <w:color w:val="auto"/>
              </w:rPr>
              <w:t>(17,578)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6"/>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balance</w:t>
            </w:r>
          </w:p>
        </w:tc>
        <w:tc>
          <w:tcPr>
            <w:tcW w:w="72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center"/>
              <w:ind w:left="543"/>
              <w:spacing w:after="0"/>
              <w:rPr>
                <w:sz w:val="20"/>
                <w:szCs w:val="20"/>
                <w:color w:val="auto"/>
              </w:rPr>
            </w:pPr>
            <w:r>
              <w:rPr>
                <w:rFonts w:ascii="Arial" w:cs="Arial" w:eastAsia="Arial" w:hAnsi="Arial"/>
                <w:sz w:val="15"/>
                <w:szCs w:val="15"/>
                <w:b w:val="1"/>
                <w:bCs w:val="1"/>
                <w:color w:val="auto"/>
              </w:rPr>
              <w:t>44,320</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r>
      <w:tr>
        <w:trPr>
          <w:trHeight w:val="20"/>
        </w:trPr>
        <w:tc>
          <w:tcPr>
            <w:tcW w:w="72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662940</wp:posOffset>
            </wp:positionV>
            <wp:extent cx="220980" cy="122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sz w:val="20"/>
          <w:szCs w:val="20"/>
          <w:color w:val="auto"/>
        </w:rPr>
        <w:tab/>
      </w:r>
      <w:r>
        <w:rPr>
          <w:rFonts w:ascii="Arial" w:cs="Arial" w:eastAsia="Arial" w:hAnsi="Arial"/>
          <w:sz w:val="10"/>
          <w:szCs w:val="10"/>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firstLine="193"/>
        <w:spacing w:after="0" w:line="292" w:lineRule="auto"/>
        <w:rPr>
          <w:sz w:val="20"/>
          <w:szCs w:val="20"/>
          <w:color w:val="auto"/>
        </w:rPr>
      </w:pPr>
      <w:r>
        <w:rPr>
          <w:rFonts w:ascii="Arial" w:cs="Arial" w:eastAsia="Arial" w:hAnsi="Arial"/>
          <w:sz w:val="17"/>
          <w:szCs w:val="17"/>
          <w:b w:val="1"/>
          <w:bCs w:val="1"/>
          <w:color w:val="auto"/>
        </w:rPr>
        <w:t xml:space="preserve">ALLOWANCE FOR CREDIT LOSSES </w:t>
      </w:r>
      <w:r>
        <w:rPr>
          <w:rFonts w:ascii="Arial" w:cs="Arial" w:eastAsia="Arial" w:hAnsi="Arial"/>
          <w:sz w:val="17"/>
          <w:szCs w:val="17"/>
          <w:color w:val="auto"/>
        </w:rPr>
        <w:t>– Activity in the allowance for credit losses for EA and all other short-term and long-term receivables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nine months ended March 31, 2026 and 2025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5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EAs</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503"/>
              <w:spacing w:after="0"/>
              <w:rPr>
                <w:sz w:val="20"/>
                <w:szCs w:val="20"/>
                <w:color w:val="auto"/>
              </w:rPr>
            </w:pPr>
            <w:r>
              <w:rPr>
                <w:rFonts w:ascii="Arial" w:cs="Arial" w:eastAsia="Arial" w:hAnsi="Arial"/>
                <w:sz w:val="15"/>
                <w:szCs w:val="15"/>
                <w:color w:val="auto"/>
              </w:rPr>
              <w:t>All Other</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Total</w:t>
            </w:r>
          </w:p>
        </w:tc>
      </w:tr>
      <w:tr>
        <w:trPr>
          <w:trHeight w:val="200"/>
        </w:trPr>
        <w:tc>
          <w:tcPr>
            <w:tcW w:w="528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2025</w:t>
            </w:r>
          </w:p>
        </w:tc>
        <w:tc>
          <w:tcPr>
            <w:tcW w:w="720" w:type="dxa"/>
            <w:vAlign w:val="bottom"/>
          </w:tcPr>
          <w:p>
            <w:pPr>
              <w:jc w:val="right"/>
              <w:ind w:right="523"/>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center"/>
              <w:ind w:left="523"/>
              <w:spacing w:after="0"/>
              <w:rPr>
                <w:sz w:val="20"/>
                <w:szCs w:val="20"/>
                <w:color w:val="auto"/>
              </w:rPr>
            </w:pPr>
            <w:r>
              <w:rPr>
                <w:rFonts w:ascii="Arial" w:cs="Arial" w:eastAsia="Arial" w:hAnsi="Arial"/>
                <w:sz w:val="15"/>
                <w:szCs w:val="15"/>
                <w:b w:val="1"/>
                <w:bCs w:val="1"/>
                <w:color w:val="auto"/>
              </w:rPr>
              <w:t>19,663</w:t>
            </w:r>
          </w:p>
        </w:tc>
        <w:tc>
          <w:tcPr>
            <w:tcW w:w="100" w:type="dxa"/>
            <w:vAlign w:val="bottom"/>
          </w:tcPr>
          <w:p>
            <w:pPr>
              <w:spacing w:after="0"/>
              <w:rPr>
                <w:sz w:val="17"/>
                <w:szCs w:val="17"/>
                <w:color w:val="auto"/>
              </w:rPr>
            </w:pPr>
          </w:p>
        </w:tc>
        <w:tc>
          <w:tcPr>
            <w:tcW w:w="700" w:type="dxa"/>
            <w:vAlign w:val="bottom"/>
          </w:tcPr>
          <w:p>
            <w:pPr>
              <w:jc w:val="right"/>
              <w:ind w:right="523"/>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Pr>
          <w:p>
            <w:pPr>
              <w:jc w:val="center"/>
              <w:ind w:left="543"/>
              <w:spacing w:after="0"/>
              <w:rPr>
                <w:sz w:val="20"/>
                <w:szCs w:val="20"/>
                <w:color w:val="auto"/>
              </w:rPr>
            </w:pPr>
            <w:r>
              <w:rPr>
                <w:rFonts w:ascii="Arial" w:cs="Arial" w:eastAsia="Arial" w:hAnsi="Arial"/>
                <w:sz w:val="15"/>
                <w:szCs w:val="15"/>
                <w:b w:val="1"/>
                <w:bCs w:val="1"/>
                <w:color w:val="auto"/>
              </w:rPr>
              <w:t>45,156</w:t>
            </w:r>
          </w:p>
        </w:tc>
        <w:tc>
          <w:tcPr>
            <w:tcW w:w="100" w:type="dxa"/>
            <w:vAlign w:val="bottom"/>
          </w:tcPr>
          <w:p>
            <w:pPr>
              <w:spacing w:after="0"/>
              <w:rPr>
                <w:sz w:val="17"/>
                <w:szCs w:val="17"/>
                <w:color w:val="auto"/>
              </w:rPr>
            </w:pPr>
          </w:p>
        </w:tc>
        <w:tc>
          <w:tcPr>
            <w:tcW w:w="700" w:type="dxa"/>
            <w:vAlign w:val="bottom"/>
          </w:tcPr>
          <w:p>
            <w:pPr>
              <w:jc w:val="right"/>
              <w:ind w:right="523"/>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Pr>
          <w:p>
            <w:pPr>
              <w:jc w:val="center"/>
              <w:ind w:left="544"/>
              <w:spacing w:after="0"/>
              <w:rPr>
                <w:sz w:val="20"/>
                <w:szCs w:val="20"/>
                <w:color w:val="auto"/>
              </w:rPr>
            </w:pPr>
            <w:r>
              <w:rPr>
                <w:rFonts w:ascii="Arial" w:cs="Arial" w:eastAsia="Arial" w:hAnsi="Arial"/>
                <w:sz w:val="15"/>
                <w:szCs w:val="15"/>
                <w:b w:val="1"/>
                <w:bCs w:val="1"/>
                <w:color w:val="auto"/>
              </w:rPr>
              <w:t>64,819</w:t>
            </w:r>
          </w:p>
        </w:tc>
      </w:tr>
      <w:tr>
        <w:trPr>
          <w:trHeight w:val="20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 for credit losses</w:t>
            </w: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523"/>
              <w:spacing w:after="0"/>
              <w:rPr>
                <w:sz w:val="20"/>
                <w:szCs w:val="20"/>
                <w:color w:val="auto"/>
              </w:rPr>
            </w:pPr>
            <w:r>
              <w:rPr>
                <w:rFonts w:ascii="Arial" w:cs="Arial" w:eastAsia="Arial" w:hAnsi="Arial"/>
                <w:sz w:val="15"/>
                <w:szCs w:val="15"/>
                <w:b w:val="1"/>
                <w:bCs w:val="1"/>
                <w:color w:val="auto"/>
              </w:rPr>
              <w:t>17,578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543"/>
              <w:spacing w:after="0"/>
              <w:rPr>
                <w:sz w:val="20"/>
                <w:szCs w:val="20"/>
                <w:color w:val="auto"/>
              </w:rPr>
            </w:pPr>
            <w:r>
              <w:rPr>
                <w:rFonts w:ascii="Arial" w:cs="Arial" w:eastAsia="Arial" w:hAnsi="Arial"/>
                <w:sz w:val="15"/>
                <w:szCs w:val="15"/>
                <w:b w:val="1"/>
                <w:bCs w:val="1"/>
                <w:color w:val="auto"/>
              </w:rPr>
              <w:t>39,945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544"/>
              <w:spacing w:after="0"/>
              <w:rPr>
                <w:sz w:val="20"/>
                <w:szCs w:val="20"/>
                <w:color w:val="auto"/>
              </w:rPr>
            </w:pPr>
            <w:r>
              <w:rPr>
                <w:rFonts w:ascii="Arial" w:cs="Arial" w:eastAsia="Arial" w:hAnsi="Arial"/>
                <w:sz w:val="15"/>
                <w:szCs w:val="15"/>
                <w:b w:val="1"/>
                <w:bCs w:val="1"/>
                <w:color w:val="auto"/>
              </w:rPr>
              <w:t>57,523</w:t>
            </w:r>
          </w:p>
        </w:tc>
      </w:tr>
      <w:tr>
        <w:trPr>
          <w:trHeight w:val="206"/>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Charge-offs, recoveries and other</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503"/>
              <w:spacing w:after="0"/>
              <w:rPr>
                <w:sz w:val="20"/>
                <w:szCs w:val="20"/>
                <w:color w:val="auto"/>
              </w:rPr>
            </w:pPr>
            <w:r>
              <w:rPr>
                <w:rFonts w:ascii="Arial" w:cs="Arial" w:eastAsia="Arial" w:hAnsi="Arial"/>
                <w:sz w:val="15"/>
                <w:szCs w:val="15"/>
                <w:b w:val="1"/>
                <w:bCs w:val="1"/>
                <w:color w:val="auto"/>
              </w:rPr>
              <w:t>(19,663)</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523"/>
              <w:spacing w:after="0"/>
              <w:rPr>
                <w:sz w:val="20"/>
                <w:szCs w:val="20"/>
                <w:color w:val="auto"/>
              </w:rPr>
            </w:pPr>
            <w:r>
              <w:rPr>
                <w:rFonts w:ascii="Arial" w:cs="Arial" w:eastAsia="Arial" w:hAnsi="Arial"/>
                <w:sz w:val="15"/>
                <w:szCs w:val="15"/>
                <w:b w:val="1"/>
                <w:bCs w:val="1"/>
                <w:color w:val="auto"/>
              </w:rPr>
              <w:t>(44,803)</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524"/>
              <w:spacing w:after="0"/>
              <w:rPr>
                <w:sz w:val="20"/>
                <w:szCs w:val="20"/>
                <w:color w:val="auto"/>
              </w:rPr>
            </w:pPr>
            <w:r>
              <w:rPr>
                <w:rFonts w:ascii="Arial" w:cs="Arial" w:eastAsia="Arial" w:hAnsi="Arial"/>
                <w:sz w:val="15"/>
                <w:szCs w:val="15"/>
                <w:b w:val="1"/>
                <w:bCs w:val="1"/>
                <w:color w:val="auto"/>
              </w:rPr>
              <w:t>(64,466)</w:t>
            </w:r>
          </w:p>
        </w:tc>
      </w:tr>
      <w:tr>
        <w:trPr>
          <w:trHeight w:val="19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Balances as of March 31, 2026</w:t>
            </w:r>
          </w:p>
        </w:tc>
        <w:tc>
          <w:tcPr>
            <w:tcW w:w="72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shd w:val="clear" w:color="auto" w:fill="CCEEFF"/>
          </w:tcPr>
          <w:p>
            <w:pPr>
              <w:jc w:val="center"/>
              <w:ind w:left="523"/>
              <w:spacing w:after="0"/>
              <w:rPr>
                <w:sz w:val="20"/>
                <w:szCs w:val="20"/>
                <w:color w:val="auto"/>
              </w:rPr>
            </w:pPr>
            <w:r>
              <w:rPr>
                <w:rFonts w:ascii="Arial" w:cs="Arial" w:eastAsia="Arial" w:hAnsi="Arial"/>
                <w:sz w:val="15"/>
                <w:szCs w:val="15"/>
                <w:b w:val="1"/>
                <w:bCs w:val="1"/>
                <w:color w:val="auto"/>
              </w:rPr>
              <w:t>17,578</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shd w:val="clear" w:color="auto" w:fill="CCEEFF"/>
          </w:tcPr>
          <w:p>
            <w:pPr>
              <w:jc w:val="center"/>
              <w:ind w:left="543"/>
              <w:spacing w:after="0"/>
              <w:rPr>
                <w:sz w:val="20"/>
                <w:szCs w:val="20"/>
                <w:color w:val="auto"/>
              </w:rPr>
            </w:pPr>
            <w:r>
              <w:rPr>
                <w:rFonts w:ascii="Arial" w:cs="Arial" w:eastAsia="Arial" w:hAnsi="Arial"/>
                <w:sz w:val="15"/>
                <w:szCs w:val="15"/>
                <w:b w:val="1"/>
                <w:bCs w:val="1"/>
                <w:color w:val="auto"/>
              </w:rPr>
              <w:t>40,298</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shd w:val="clear" w:color="auto" w:fill="CCEEFF"/>
          </w:tcPr>
          <w:p>
            <w:pPr>
              <w:jc w:val="center"/>
              <w:ind w:left="544"/>
              <w:spacing w:after="0"/>
              <w:rPr>
                <w:sz w:val="20"/>
                <w:szCs w:val="20"/>
                <w:color w:val="auto"/>
              </w:rPr>
            </w:pPr>
            <w:r>
              <w:rPr>
                <w:rFonts w:ascii="Arial" w:cs="Arial" w:eastAsia="Arial" w:hAnsi="Arial"/>
                <w:sz w:val="15"/>
                <w:szCs w:val="15"/>
                <w:b w:val="1"/>
                <w:bCs w:val="1"/>
                <w:color w:val="auto"/>
              </w:rPr>
              <w:t>57,876</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2024</w:t>
            </w:r>
          </w:p>
        </w:tc>
        <w:tc>
          <w:tcPr>
            <w:tcW w:w="720" w:type="dxa"/>
            <w:vAlign w:val="bottom"/>
          </w:tcPr>
          <w:p>
            <w:pPr>
              <w:jc w:val="right"/>
              <w:ind w:right="523"/>
              <w:spacing w:after="0"/>
              <w:rPr>
                <w:sz w:val="20"/>
                <w:szCs w:val="20"/>
                <w:color w:val="auto"/>
              </w:rPr>
            </w:pPr>
            <w:r>
              <w:rPr>
                <w:rFonts w:ascii="Arial" w:cs="Arial" w:eastAsia="Arial" w:hAnsi="Arial"/>
                <w:sz w:val="15"/>
                <w:szCs w:val="15"/>
                <w:color w:val="auto"/>
              </w:rPr>
              <w:t>$</w:t>
            </w:r>
          </w:p>
        </w:tc>
        <w:tc>
          <w:tcPr>
            <w:tcW w:w="1200" w:type="dxa"/>
            <w:vAlign w:val="bottom"/>
          </w:tcPr>
          <w:p>
            <w:pPr>
              <w:jc w:val="center"/>
              <w:ind w:left="523"/>
              <w:spacing w:after="0"/>
              <w:rPr>
                <w:sz w:val="20"/>
                <w:szCs w:val="20"/>
                <w:color w:val="auto"/>
              </w:rPr>
            </w:pPr>
            <w:r>
              <w:rPr>
                <w:rFonts w:ascii="Arial" w:cs="Arial" w:eastAsia="Arial" w:hAnsi="Arial"/>
                <w:sz w:val="15"/>
                <w:szCs w:val="15"/>
                <w:color w:val="auto"/>
              </w:rPr>
              <w:t>33,536</w:t>
            </w:r>
          </w:p>
        </w:tc>
        <w:tc>
          <w:tcPr>
            <w:tcW w:w="100" w:type="dxa"/>
            <w:vAlign w:val="bottom"/>
          </w:tcPr>
          <w:p>
            <w:pPr>
              <w:spacing w:after="0"/>
              <w:rPr>
                <w:sz w:val="17"/>
                <w:szCs w:val="17"/>
                <w:color w:val="auto"/>
              </w:rPr>
            </w:pPr>
          </w:p>
        </w:tc>
        <w:tc>
          <w:tcPr>
            <w:tcW w:w="700" w:type="dxa"/>
            <w:vAlign w:val="bottom"/>
          </w:tcPr>
          <w:p>
            <w:pPr>
              <w:jc w:val="right"/>
              <w:ind w:right="5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center"/>
              <w:ind w:left="543"/>
              <w:spacing w:after="0"/>
              <w:rPr>
                <w:sz w:val="20"/>
                <w:szCs w:val="20"/>
                <w:color w:val="auto"/>
              </w:rPr>
            </w:pPr>
            <w:r>
              <w:rPr>
                <w:rFonts w:ascii="Arial" w:cs="Arial" w:eastAsia="Arial" w:hAnsi="Arial"/>
                <w:sz w:val="15"/>
                <w:szCs w:val="15"/>
                <w:color w:val="auto"/>
              </w:rPr>
              <w:t>45,327</w:t>
            </w:r>
          </w:p>
        </w:tc>
        <w:tc>
          <w:tcPr>
            <w:tcW w:w="100" w:type="dxa"/>
            <w:vAlign w:val="bottom"/>
          </w:tcPr>
          <w:p>
            <w:pPr>
              <w:spacing w:after="0"/>
              <w:rPr>
                <w:sz w:val="17"/>
                <w:szCs w:val="17"/>
                <w:color w:val="auto"/>
              </w:rPr>
            </w:pPr>
          </w:p>
        </w:tc>
        <w:tc>
          <w:tcPr>
            <w:tcW w:w="700" w:type="dxa"/>
            <w:vAlign w:val="bottom"/>
          </w:tcPr>
          <w:p>
            <w:pPr>
              <w:jc w:val="right"/>
              <w:ind w:right="5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center"/>
              <w:ind w:left="544"/>
              <w:spacing w:after="0"/>
              <w:rPr>
                <w:sz w:val="20"/>
                <w:szCs w:val="20"/>
                <w:color w:val="auto"/>
              </w:rPr>
            </w:pPr>
            <w:r>
              <w:rPr>
                <w:rFonts w:ascii="Arial" w:cs="Arial" w:eastAsia="Arial" w:hAnsi="Arial"/>
                <w:sz w:val="15"/>
                <w:szCs w:val="15"/>
                <w:color w:val="auto"/>
              </w:rPr>
              <w:t>78,863</w:t>
            </w:r>
          </w:p>
        </w:tc>
      </w:tr>
      <w:tr>
        <w:trPr>
          <w:trHeight w:val="207"/>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 for credit losses</w:t>
            </w: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523"/>
              <w:spacing w:after="0"/>
              <w:rPr>
                <w:sz w:val="20"/>
                <w:szCs w:val="20"/>
                <w:color w:val="auto"/>
              </w:rPr>
            </w:pPr>
            <w:r>
              <w:rPr>
                <w:rFonts w:ascii="Arial" w:cs="Arial" w:eastAsia="Arial" w:hAnsi="Arial"/>
                <w:sz w:val="15"/>
                <w:szCs w:val="15"/>
                <w:color w:val="auto"/>
              </w:rPr>
              <w:t>19,371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43"/>
              <w:spacing w:after="0"/>
              <w:rPr>
                <w:sz w:val="20"/>
                <w:szCs w:val="20"/>
                <w:color w:val="auto"/>
              </w:rPr>
            </w:pPr>
            <w:r>
              <w:rPr>
                <w:rFonts w:ascii="Arial" w:cs="Arial" w:eastAsia="Arial" w:hAnsi="Arial"/>
                <w:sz w:val="15"/>
                <w:szCs w:val="15"/>
                <w:color w:val="auto"/>
              </w:rPr>
              <w:t>36,671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44"/>
              <w:spacing w:after="0"/>
              <w:rPr>
                <w:sz w:val="20"/>
                <w:szCs w:val="20"/>
                <w:color w:val="auto"/>
              </w:rPr>
            </w:pPr>
            <w:r>
              <w:rPr>
                <w:rFonts w:ascii="Arial" w:cs="Arial" w:eastAsia="Arial" w:hAnsi="Arial"/>
                <w:sz w:val="15"/>
                <w:szCs w:val="15"/>
                <w:color w:val="auto"/>
              </w:rPr>
              <w:t>56,042</w:t>
            </w:r>
          </w:p>
        </w:tc>
      </w:tr>
      <w:tr>
        <w:trPr>
          <w:trHeight w:val="205"/>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Charge-offs, recoveries and other</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503"/>
              <w:spacing w:after="0"/>
              <w:rPr>
                <w:sz w:val="20"/>
                <w:szCs w:val="20"/>
                <w:color w:val="auto"/>
              </w:rPr>
            </w:pPr>
            <w:r>
              <w:rPr>
                <w:rFonts w:ascii="Arial" w:cs="Arial" w:eastAsia="Arial" w:hAnsi="Arial"/>
                <w:sz w:val="15"/>
                <w:szCs w:val="15"/>
                <w:color w:val="auto"/>
              </w:rPr>
              <w:t>(33,536)</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523"/>
              <w:spacing w:after="0"/>
              <w:rPr>
                <w:sz w:val="20"/>
                <w:szCs w:val="20"/>
                <w:color w:val="auto"/>
              </w:rPr>
            </w:pPr>
            <w:r>
              <w:rPr>
                <w:rFonts w:ascii="Arial" w:cs="Arial" w:eastAsia="Arial" w:hAnsi="Arial"/>
                <w:sz w:val="15"/>
                <w:szCs w:val="15"/>
                <w:color w:val="auto"/>
              </w:rPr>
              <w:t>(45,864)</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524"/>
              <w:spacing w:after="0"/>
              <w:rPr>
                <w:sz w:val="20"/>
                <w:szCs w:val="20"/>
                <w:color w:val="auto"/>
              </w:rPr>
            </w:pPr>
            <w:r>
              <w:rPr>
                <w:rFonts w:ascii="Arial" w:cs="Arial" w:eastAsia="Arial" w:hAnsi="Arial"/>
                <w:sz w:val="15"/>
                <w:szCs w:val="15"/>
                <w:color w:val="auto"/>
              </w:rPr>
              <w:t>(79,400)</w:t>
            </w:r>
          </w:p>
        </w:tc>
      </w:tr>
      <w:tr>
        <w:trPr>
          <w:trHeight w:val="20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Balances as of March 31, 2025</w:t>
            </w:r>
          </w:p>
        </w:tc>
        <w:tc>
          <w:tcPr>
            <w:tcW w:w="72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center"/>
              <w:ind w:left="523"/>
              <w:spacing w:after="0"/>
              <w:rPr>
                <w:sz w:val="20"/>
                <w:szCs w:val="20"/>
                <w:color w:val="auto"/>
              </w:rPr>
            </w:pPr>
            <w:r>
              <w:rPr>
                <w:rFonts w:ascii="Arial" w:cs="Arial" w:eastAsia="Arial" w:hAnsi="Arial"/>
                <w:sz w:val="15"/>
                <w:szCs w:val="15"/>
                <w:color w:val="auto"/>
              </w:rPr>
              <w:t>19,371</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center"/>
              <w:ind w:left="543"/>
              <w:spacing w:after="0"/>
              <w:rPr>
                <w:sz w:val="20"/>
                <w:szCs w:val="20"/>
                <w:color w:val="auto"/>
              </w:rPr>
            </w:pPr>
            <w:r>
              <w:rPr>
                <w:rFonts w:ascii="Arial" w:cs="Arial" w:eastAsia="Arial" w:hAnsi="Arial"/>
                <w:sz w:val="15"/>
                <w:szCs w:val="15"/>
                <w:color w:val="auto"/>
              </w:rPr>
              <w:t>36,134</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center"/>
              <w:ind w:left="544"/>
              <w:spacing w:after="0"/>
              <w:rPr>
                <w:sz w:val="20"/>
                <w:szCs w:val="20"/>
                <w:color w:val="auto"/>
              </w:rPr>
            </w:pPr>
            <w:r>
              <w:rPr>
                <w:rFonts w:ascii="Arial" w:cs="Arial" w:eastAsia="Arial" w:hAnsi="Arial"/>
                <w:sz w:val="15"/>
                <w:szCs w:val="15"/>
                <w:color w:val="auto"/>
              </w:rPr>
              <w:t>55,505</w:t>
            </w:r>
          </w:p>
        </w:tc>
      </w:tr>
      <w:tr>
        <w:trPr>
          <w:trHeight w:val="32"/>
        </w:trPr>
        <w:tc>
          <w:tcPr>
            <w:tcW w:w="5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51"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For the nine months ended March 31, 2026, there were $19.7 million of gross charge-offs related to EAs which were originated in fiscal year 2025.</w:t>
      </w:r>
    </w:p>
    <w:p>
      <w:pPr>
        <w:spacing w:after="0" w:line="294"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5: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for the nine months ended March 31, 2026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Goodwill</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2"/>
          </w:tcPr>
          <w:p>
            <w:pPr>
              <w:jc w:val="right"/>
              <w:ind w:right="100"/>
              <w:spacing w:after="0" w:line="152" w:lineRule="exact"/>
              <w:rPr>
                <w:sz w:val="20"/>
                <w:szCs w:val="20"/>
                <w:color w:val="auto"/>
              </w:rPr>
            </w:pPr>
            <w:r>
              <w:rPr>
                <w:rFonts w:ascii="Arial" w:cs="Arial" w:eastAsia="Arial" w:hAnsi="Arial"/>
                <w:sz w:val="15"/>
                <w:szCs w:val="15"/>
                <w:color w:val="auto"/>
              </w:rPr>
              <w:t>Accumulated Impairment</w:t>
            </w:r>
          </w:p>
        </w:tc>
        <w:tc>
          <w:tcPr>
            <w:tcW w:w="7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Net</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Losses</w:t>
            </w:r>
          </w:p>
        </w:tc>
        <w:tc>
          <w:tcPr>
            <w:tcW w:w="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2025</w:t>
            </w:r>
          </w:p>
        </w:tc>
        <w:tc>
          <w:tcPr>
            <w:tcW w:w="760" w:type="dxa"/>
            <w:vAlign w:val="bottom"/>
          </w:tcPr>
          <w:p>
            <w:pPr>
              <w:jc w:val="right"/>
              <w:ind w:right="583"/>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Pr>
          <w:p>
            <w:pPr>
              <w:jc w:val="right"/>
              <w:ind w:right="3"/>
              <w:spacing w:after="0"/>
              <w:rPr>
                <w:sz w:val="20"/>
                <w:szCs w:val="20"/>
                <w:color w:val="auto"/>
              </w:rPr>
            </w:pPr>
            <w:r>
              <w:rPr>
                <w:rFonts w:ascii="Arial" w:cs="Arial" w:eastAsia="Arial" w:hAnsi="Arial"/>
                <w:sz w:val="15"/>
                <w:szCs w:val="15"/>
                <w:b w:val="1"/>
                <w:bCs w:val="1"/>
                <w:color w:val="auto"/>
              </w:rPr>
              <w:t>940,350</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860" w:type="dxa"/>
            <w:vAlign w:val="bottom"/>
          </w:tcPr>
          <w:p>
            <w:pPr>
              <w:jc w:val="right"/>
              <w:spacing w:after="0"/>
              <w:rPr>
                <w:sz w:val="20"/>
                <w:szCs w:val="20"/>
                <w:color w:val="auto"/>
              </w:rPr>
            </w:pPr>
            <w:r>
              <w:rPr>
                <w:rFonts w:ascii="Arial" w:cs="Arial" w:eastAsia="Arial" w:hAnsi="Arial"/>
                <w:sz w:val="15"/>
                <w:szCs w:val="15"/>
                <w:b w:val="1"/>
                <w:bCs w:val="1"/>
                <w:color w:val="auto"/>
              </w:rPr>
              <w:t>(138,297)</w:t>
            </w:r>
          </w:p>
        </w:tc>
        <w:tc>
          <w:tcPr>
            <w:tcW w:w="80" w:type="dxa"/>
            <w:vAlign w:val="bottom"/>
          </w:tcPr>
          <w:p>
            <w:pPr>
              <w:spacing w:after="0"/>
              <w:rPr>
                <w:sz w:val="17"/>
                <w:szCs w:val="17"/>
                <w:color w:val="auto"/>
              </w:rPr>
            </w:pPr>
          </w:p>
        </w:tc>
        <w:tc>
          <w:tcPr>
            <w:tcW w:w="780" w:type="dxa"/>
            <w:vAlign w:val="bottom"/>
          </w:tcPr>
          <w:p>
            <w:pPr>
              <w:jc w:val="right"/>
              <w:ind w:right="583"/>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802,053</w:t>
            </w:r>
          </w:p>
        </w:tc>
        <w:tc>
          <w:tcPr>
            <w:tcW w:w="0" w:type="dxa"/>
            <w:vAlign w:val="bottom"/>
          </w:tcPr>
          <w:p>
            <w:pPr>
              <w:spacing w:after="0"/>
              <w:rPr>
                <w:sz w:val="1"/>
                <w:szCs w:val="1"/>
                <w:color w:val="auto"/>
              </w:rPr>
            </w:pPr>
          </w:p>
        </w:tc>
      </w:tr>
      <w:tr>
        <w:trPr>
          <w:trHeight w:val="206"/>
        </w:trPr>
        <w:tc>
          <w:tcPr>
            <w:tcW w:w="486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5"/>
                <w:szCs w:val="15"/>
                <w:color w:val="auto"/>
              </w:rPr>
              <w:t>Acquisitions</w:t>
            </w:r>
            <w:r>
              <w:rPr>
                <w:rFonts w:ascii="Arial" w:cs="Arial" w:eastAsia="Arial" w:hAnsi="Arial"/>
                <w:sz w:val="20"/>
                <w:szCs w:val="20"/>
                <w:color w:val="auto"/>
                <w:vertAlign w:val="superscript"/>
              </w:rPr>
              <w:t>(1)</w:t>
            </w:r>
          </w:p>
        </w:tc>
        <w:tc>
          <w:tcPr>
            <w:tcW w:w="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19,055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640"/>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19,055</w:t>
            </w:r>
          </w:p>
        </w:tc>
        <w:tc>
          <w:tcPr>
            <w:tcW w:w="0" w:type="dxa"/>
            <w:vAlign w:val="bottom"/>
          </w:tcPr>
          <w:p>
            <w:pPr>
              <w:spacing w:after="0"/>
              <w:rPr>
                <w:sz w:val="1"/>
                <w:szCs w:val="1"/>
                <w:color w:val="auto"/>
              </w:rPr>
            </w:pP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Disposals and foreign currency changes, net</w:t>
            </w:r>
          </w:p>
        </w:tc>
        <w:tc>
          <w:tcPr>
            <w:tcW w:w="7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(5,488)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ind w:left="164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(5,488)</w:t>
            </w:r>
          </w:p>
        </w:tc>
        <w:tc>
          <w:tcPr>
            <w:tcW w:w="0" w:type="dxa"/>
            <w:vAlign w:val="bottom"/>
          </w:tcPr>
          <w:p>
            <w:pPr>
              <w:spacing w:after="0"/>
              <w:rPr>
                <w:sz w:val="1"/>
                <w:szCs w:val="1"/>
                <w:color w:val="auto"/>
              </w:rPr>
            </w:pPr>
          </w:p>
        </w:tc>
      </w:tr>
      <w:tr>
        <w:trPr>
          <w:trHeight w:val="20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Impairments</w:t>
            </w:r>
          </w:p>
        </w:tc>
        <w:tc>
          <w:tcPr>
            <w:tcW w:w="7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640"/>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Balances as of March 31, 2026</w:t>
            </w:r>
          </w:p>
        </w:tc>
        <w:tc>
          <w:tcPr>
            <w:tcW w:w="7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953,917</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(138,297)</w:t>
            </w:r>
          </w:p>
        </w:tc>
        <w:tc>
          <w:tcPr>
            <w:tcW w:w="8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815,620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260" w:hanging="257"/>
        <w:spacing w:after="0"/>
        <w:tabs>
          <w:tab w:leader="none" w:pos="2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All goodwill added during the period is expected to be tax-deductible for federal income tax reporting.</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conjunction with our annual impairment test, we tested goodwill for impairment during the quarter and did not identify any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631825</wp:posOffset>
            </wp:positionV>
            <wp:extent cx="212725"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hanging="266"/>
        <w:spacing w:after="0"/>
        <w:tabs>
          <w:tab w:leader="none" w:pos="36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Components of intangible assets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Gross Carrying Amount</w:t>
            </w:r>
          </w:p>
        </w:tc>
        <w:tc>
          <w:tcPr>
            <w:tcW w:w="8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gridSpan w:val="2"/>
          </w:tcPr>
          <w:p>
            <w:pPr>
              <w:jc w:val="right"/>
              <w:ind w:right="100"/>
              <w:spacing w:after="0" w:line="152" w:lineRule="exact"/>
              <w:rPr>
                <w:sz w:val="20"/>
                <w:szCs w:val="20"/>
                <w:color w:val="auto"/>
              </w:rPr>
            </w:pPr>
            <w:r>
              <w:rPr>
                <w:rFonts w:ascii="Arial" w:cs="Arial" w:eastAsia="Arial" w:hAnsi="Arial"/>
                <w:sz w:val="15"/>
                <w:szCs w:val="15"/>
                <w:color w:val="auto"/>
              </w:rPr>
              <w:t>Accumulated</w:t>
            </w:r>
          </w:p>
        </w:tc>
        <w:tc>
          <w:tcPr>
            <w:tcW w:w="6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Net</w:t>
            </w:r>
          </w:p>
        </w:tc>
        <w:tc>
          <w:tcPr>
            <w:tcW w:w="0" w:type="dxa"/>
            <w:vAlign w:val="bottom"/>
          </w:tcPr>
          <w:p>
            <w:pPr>
              <w:spacing w:after="0"/>
              <w:rPr>
                <w:sz w:val="1"/>
                <w:szCs w:val="1"/>
                <w:color w:val="auto"/>
              </w:rPr>
            </w:pPr>
          </w:p>
        </w:tc>
      </w:tr>
      <w:tr>
        <w:trPr>
          <w:trHeight w:val="205"/>
        </w:trPr>
        <w:tc>
          <w:tcPr>
            <w:tcW w:w="5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Amortization</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20" w:type="dxa"/>
            <w:vAlign w:val="bottom"/>
            <w:gridSpan w:val="2"/>
          </w:tcPr>
          <w:p>
            <w:pPr>
              <w:ind w:left="20"/>
              <w:spacing w:after="0"/>
              <w:rPr>
                <w:sz w:val="20"/>
                <w:szCs w:val="20"/>
                <w:color w:val="auto"/>
              </w:rPr>
            </w:pPr>
            <w:r>
              <w:rPr>
                <w:rFonts w:ascii="Arial" w:cs="Arial" w:eastAsia="Arial" w:hAnsi="Arial"/>
                <w:sz w:val="15"/>
                <w:szCs w:val="15"/>
                <w:color w:val="auto"/>
              </w:rPr>
              <w:t>As of March 31, 2026:</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Reacquired franchise rights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431,555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(254,474)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5"/>
                <w:szCs w:val="15"/>
                <w:b w:val="1"/>
                <w:bCs w:val="1"/>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177,081</w:t>
            </w:r>
          </w:p>
        </w:tc>
        <w:tc>
          <w:tcPr>
            <w:tcW w:w="0" w:type="dxa"/>
            <w:vAlign w:val="bottom"/>
          </w:tcPr>
          <w:p>
            <w:pPr>
              <w:spacing w:after="0"/>
              <w:rPr>
                <w:sz w:val="1"/>
                <w:szCs w:val="1"/>
                <w:color w:val="auto"/>
              </w:rPr>
            </w:pPr>
          </w:p>
        </w:tc>
      </w:tr>
      <w:tr>
        <w:trPr>
          <w:trHeight w:val="206"/>
        </w:trPr>
        <w:tc>
          <w:tcPr>
            <w:tcW w:w="5820" w:type="dxa"/>
            <w:vAlign w:val="bottom"/>
            <w:gridSpan w:val="2"/>
          </w:tcPr>
          <w:p>
            <w:pPr>
              <w:ind w:left="140"/>
              <w:spacing w:after="0"/>
              <w:rPr>
                <w:sz w:val="20"/>
                <w:szCs w:val="20"/>
                <w:color w:val="auto"/>
              </w:rPr>
            </w:pPr>
            <w:r>
              <w:rPr>
                <w:rFonts w:ascii="Arial" w:cs="Arial" w:eastAsia="Arial" w:hAnsi="Arial"/>
                <w:sz w:val="15"/>
                <w:szCs w:val="15"/>
                <w:color w:val="auto"/>
              </w:rPr>
              <w:t>Customer relationships</w:t>
            </w:r>
          </w:p>
        </w:tc>
        <w:tc>
          <w:tcPr>
            <w:tcW w:w="10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b w:val="1"/>
                <w:bCs w:val="1"/>
                <w:color w:val="auto"/>
              </w:rPr>
              <w:t>386,141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(305,246)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80,895</w:t>
            </w:r>
          </w:p>
        </w:tc>
        <w:tc>
          <w:tcPr>
            <w:tcW w:w="0" w:type="dxa"/>
            <w:vAlign w:val="bottom"/>
          </w:tcPr>
          <w:p>
            <w:pPr>
              <w:spacing w:after="0"/>
              <w:rPr>
                <w:sz w:val="1"/>
                <w:szCs w:val="1"/>
                <w:color w:val="auto"/>
              </w:rPr>
            </w:pPr>
          </w:p>
        </w:tc>
      </w:tr>
      <w:tr>
        <w:trPr>
          <w:trHeight w:val="206"/>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Internally-developed software</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121,671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(117,831)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3,840</w:t>
            </w:r>
          </w:p>
        </w:tc>
        <w:tc>
          <w:tcPr>
            <w:tcW w:w="0" w:type="dxa"/>
            <w:vAlign w:val="bottom"/>
          </w:tcPr>
          <w:p>
            <w:pPr>
              <w:spacing w:after="0"/>
              <w:rPr>
                <w:sz w:val="1"/>
                <w:szCs w:val="1"/>
                <w:color w:val="auto"/>
              </w:rPr>
            </w:pPr>
          </w:p>
        </w:tc>
      </w:tr>
      <w:tr>
        <w:trPr>
          <w:trHeight w:val="206"/>
        </w:trPr>
        <w:tc>
          <w:tcPr>
            <w:tcW w:w="5820" w:type="dxa"/>
            <w:vAlign w:val="bottom"/>
            <w:gridSpan w:val="2"/>
          </w:tcPr>
          <w:p>
            <w:pPr>
              <w:ind w:left="140"/>
              <w:spacing w:after="0"/>
              <w:rPr>
                <w:sz w:val="20"/>
                <w:szCs w:val="20"/>
                <w:color w:val="auto"/>
              </w:rPr>
            </w:pPr>
            <w:r>
              <w:rPr>
                <w:rFonts w:ascii="Arial" w:cs="Arial" w:eastAsia="Arial" w:hAnsi="Arial"/>
                <w:sz w:val="15"/>
                <w:szCs w:val="15"/>
                <w:color w:val="auto"/>
              </w:rPr>
              <w:t>Noncompete agreements</w:t>
            </w:r>
          </w:p>
        </w:tc>
        <w:tc>
          <w:tcPr>
            <w:tcW w:w="10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b w:val="1"/>
                <w:bCs w:val="1"/>
                <w:color w:val="auto"/>
              </w:rPr>
              <w:t>24,476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(20,923)</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3,553</w:t>
            </w:r>
          </w:p>
        </w:tc>
        <w:tc>
          <w:tcPr>
            <w:tcW w:w="0" w:type="dxa"/>
            <w:vAlign w:val="bottom"/>
          </w:tcPr>
          <w:p>
            <w:pPr>
              <w:spacing w:after="0"/>
              <w:rPr>
                <w:sz w:val="1"/>
                <w:szCs w:val="1"/>
                <w:color w:val="auto"/>
              </w:rPr>
            </w:pPr>
          </w:p>
        </w:tc>
      </w:tr>
      <w:tr>
        <w:trPr>
          <w:trHeight w:val="206"/>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Purchased technology</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68,100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(59,388)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8,712</w:t>
            </w:r>
          </w:p>
        </w:tc>
        <w:tc>
          <w:tcPr>
            <w:tcW w:w="0" w:type="dxa"/>
            <w:vAlign w:val="bottom"/>
          </w:tcPr>
          <w:p>
            <w:pPr>
              <w:spacing w:after="0"/>
              <w:rPr>
                <w:sz w:val="1"/>
                <w:szCs w:val="1"/>
                <w:color w:val="auto"/>
              </w:rPr>
            </w:pPr>
          </w:p>
        </w:tc>
      </w:tr>
      <w:tr>
        <w:trPr>
          <w:trHeight w:val="206"/>
        </w:trPr>
        <w:tc>
          <w:tcPr>
            <w:tcW w:w="5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Trade name</w:t>
            </w: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5,800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(3,915)</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1,885</w:t>
            </w:r>
          </w:p>
        </w:tc>
        <w:tc>
          <w:tcPr>
            <w:tcW w:w="0" w:type="dxa"/>
            <w:vAlign w:val="bottom"/>
          </w:tcPr>
          <w:p>
            <w:pPr>
              <w:spacing w:after="0"/>
              <w:rPr>
                <w:sz w:val="1"/>
                <w:szCs w:val="1"/>
                <w:color w:val="auto"/>
              </w:rPr>
            </w:pPr>
          </w:p>
        </w:tc>
      </w:tr>
      <w:tr>
        <w:trPr>
          <w:trHeight w:val="199"/>
        </w:trPr>
        <w:tc>
          <w:tcPr>
            <w:tcW w:w="5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1,037,743</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(761,777)</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275,966</w:t>
            </w:r>
          </w:p>
        </w:tc>
        <w:tc>
          <w:tcPr>
            <w:tcW w:w="0" w:type="dxa"/>
            <w:vAlign w:val="bottom"/>
          </w:tcPr>
          <w:p>
            <w:pPr>
              <w:spacing w:after="0"/>
              <w:rPr>
                <w:sz w:val="1"/>
                <w:szCs w:val="1"/>
                <w:color w:val="auto"/>
              </w:rPr>
            </w:pPr>
          </w:p>
        </w:tc>
      </w:tr>
      <w:tr>
        <w:trPr>
          <w:trHeight w:val="185"/>
        </w:trPr>
        <w:tc>
          <w:tcPr>
            <w:tcW w:w="5820" w:type="dxa"/>
            <w:vAlign w:val="bottom"/>
            <w:gridSpan w:val="2"/>
          </w:tcPr>
          <w:p>
            <w:pPr>
              <w:ind w:left="20"/>
              <w:spacing w:after="0"/>
              <w:rPr>
                <w:sz w:val="20"/>
                <w:szCs w:val="20"/>
                <w:color w:val="auto"/>
              </w:rPr>
            </w:pPr>
            <w:r>
              <w:rPr>
                <w:rFonts w:ascii="Arial" w:cs="Arial" w:eastAsia="Arial" w:hAnsi="Arial"/>
                <w:sz w:val="15"/>
                <w:szCs w:val="15"/>
                <w:color w:val="auto"/>
              </w:rPr>
              <w:t>As of June 30, 2025:</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Reacquired franchise rights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415,700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(243,330)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172,370</w:t>
            </w:r>
          </w:p>
        </w:tc>
        <w:tc>
          <w:tcPr>
            <w:tcW w:w="0" w:type="dxa"/>
            <w:vAlign w:val="bottom"/>
          </w:tcPr>
          <w:p>
            <w:pPr>
              <w:spacing w:after="0"/>
              <w:rPr>
                <w:sz w:val="1"/>
                <w:szCs w:val="1"/>
                <w:color w:val="auto"/>
              </w:rPr>
            </w:pPr>
          </w:p>
        </w:tc>
      </w:tr>
      <w:tr>
        <w:trPr>
          <w:trHeight w:val="205"/>
        </w:trPr>
        <w:tc>
          <w:tcPr>
            <w:tcW w:w="5820" w:type="dxa"/>
            <w:vAlign w:val="bottom"/>
            <w:gridSpan w:val="2"/>
          </w:tcPr>
          <w:p>
            <w:pPr>
              <w:ind w:left="140"/>
              <w:spacing w:after="0"/>
              <w:rPr>
                <w:sz w:val="20"/>
                <w:szCs w:val="20"/>
                <w:color w:val="auto"/>
              </w:rPr>
            </w:pPr>
            <w:r>
              <w:rPr>
                <w:rFonts w:ascii="Arial" w:cs="Arial" w:eastAsia="Arial" w:hAnsi="Arial"/>
                <w:sz w:val="15"/>
                <w:szCs w:val="15"/>
                <w:color w:val="auto"/>
              </w:rPr>
              <w:t>Customer relationships</w:t>
            </w:r>
          </w:p>
        </w:tc>
        <w:tc>
          <w:tcPr>
            <w:tcW w:w="10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color w:val="auto"/>
              </w:rPr>
              <w:t>354,107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(287,067)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67,040</w:t>
            </w:r>
          </w:p>
        </w:tc>
        <w:tc>
          <w:tcPr>
            <w:tcW w:w="0" w:type="dxa"/>
            <w:vAlign w:val="bottom"/>
          </w:tcPr>
          <w:p>
            <w:pPr>
              <w:spacing w:after="0"/>
              <w:rPr>
                <w:sz w:val="1"/>
                <w:szCs w:val="1"/>
                <w:color w:val="auto"/>
              </w:rPr>
            </w:pPr>
          </w:p>
        </w:tc>
      </w:tr>
      <w:tr>
        <w:trPr>
          <w:trHeight w:val="20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Internally-developed software</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119,959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(117,604)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2,355</w:t>
            </w:r>
          </w:p>
        </w:tc>
        <w:tc>
          <w:tcPr>
            <w:tcW w:w="0" w:type="dxa"/>
            <w:vAlign w:val="bottom"/>
          </w:tcPr>
          <w:p>
            <w:pPr>
              <w:spacing w:after="0"/>
              <w:rPr>
                <w:sz w:val="1"/>
                <w:szCs w:val="1"/>
                <w:color w:val="auto"/>
              </w:rPr>
            </w:pPr>
          </w:p>
        </w:tc>
      </w:tr>
      <w:tr>
        <w:trPr>
          <w:trHeight w:val="205"/>
        </w:trPr>
        <w:tc>
          <w:tcPr>
            <w:tcW w:w="5820" w:type="dxa"/>
            <w:vAlign w:val="bottom"/>
            <w:gridSpan w:val="2"/>
          </w:tcPr>
          <w:p>
            <w:pPr>
              <w:ind w:left="140"/>
              <w:spacing w:after="0"/>
              <w:rPr>
                <w:sz w:val="20"/>
                <w:szCs w:val="20"/>
                <w:color w:val="auto"/>
              </w:rPr>
            </w:pPr>
            <w:r>
              <w:rPr>
                <w:rFonts w:ascii="Arial" w:cs="Arial" w:eastAsia="Arial" w:hAnsi="Arial"/>
                <w:sz w:val="15"/>
                <w:szCs w:val="15"/>
                <w:color w:val="auto"/>
              </w:rPr>
              <w:t>Noncompete agreements</w:t>
            </w:r>
          </w:p>
        </w:tc>
        <w:tc>
          <w:tcPr>
            <w:tcW w:w="10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color w:val="auto"/>
              </w:rPr>
              <w:t>23,070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(20,188)</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2,882</w:t>
            </w:r>
          </w:p>
        </w:tc>
        <w:tc>
          <w:tcPr>
            <w:tcW w:w="0" w:type="dxa"/>
            <w:vAlign w:val="bottom"/>
          </w:tcPr>
          <w:p>
            <w:pPr>
              <w:spacing w:after="0"/>
              <w:rPr>
                <w:sz w:val="1"/>
                <w:szCs w:val="1"/>
                <w:color w:val="auto"/>
              </w:rPr>
            </w:pPr>
          </w:p>
        </w:tc>
      </w:tr>
      <w:tr>
        <w:trPr>
          <w:trHeight w:val="20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Purchased technology</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68,100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(55,655)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12,445</w:t>
            </w:r>
          </w:p>
        </w:tc>
        <w:tc>
          <w:tcPr>
            <w:tcW w:w="0" w:type="dxa"/>
            <w:vAlign w:val="bottom"/>
          </w:tcPr>
          <w:p>
            <w:pPr>
              <w:spacing w:after="0"/>
              <w:rPr>
                <w:sz w:val="1"/>
                <w:szCs w:val="1"/>
                <w:color w:val="auto"/>
              </w:rPr>
            </w:pPr>
          </w:p>
        </w:tc>
      </w:tr>
      <w:tr>
        <w:trPr>
          <w:trHeight w:val="205"/>
        </w:trPr>
        <w:tc>
          <w:tcPr>
            <w:tcW w:w="5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Trade name</w:t>
            </w: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(3,480)</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2,320</w:t>
            </w:r>
          </w:p>
        </w:tc>
        <w:tc>
          <w:tcPr>
            <w:tcW w:w="0" w:type="dxa"/>
            <w:vAlign w:val="bottom"/>
          </w:tcPr>
          <w:p>
            <w:pPr>
              <w:spacing w:after="0"/>
              <w:rPr>
                <w:sz w:val="1"/>
                <w:szCs w:val="1"/>
                <w:color w:val="auto"/>
              </w:rPr>
            </w:pPr>
          </w:p>
        </w:tc>
      </w:tr>
      <w:tr>
        <w:trPr>
          <w:trHeight w:val="200"/>
        </w:trPr>
        <w:tc>
          <w:tcPr>
            <w:tcW w:w="5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986,736</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(727,324)</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259,412</w:t>
            </w:r>
          </w:p>
        </w:tc>
        <w:tc>
          <w:tcPr>
            <w:tcW w:w="0" w:type="dxa"/>
            <w:vAlign w:val="bottom"/>
          </w:tcPr>
          <w:p>
            <w:pPr>
              <w:spacing w:after="0"/>
              <w:rPr>
                <w:sz w:val="1"/>
                <w:szCs w:val="1"/>
                <w:color w:val="auto"/>
              </w:rPr>
            </w:pPr>
          </w:p>
        </w:tc>
      </w:tr>
      <w:tr>
        <w:trPr>
          <w:trHeight w:val="32"/>
        </w:trPr>
        <w:tc>
          <w:tcPr>
            <w:tcW w:w="5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We made payments to acquire businesses totaling $ 55.0 million and $35.3 million during the nine months ended March 31, 2026 and 2025, respectively. The amounts and weighted-average lives of intangible assets acquired during the nine months ended March 31, 2026, including amounts capitalized related to internally-developed software,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02"/>
        </w:trPr>
        <w:tc>
          <w:tcPr>
            <w:tcW w:w="5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Amount</w:t>
            </w:r>
          </w:p>
        </w:tc>
        <w:tc>
          <w:tcPr>
            <w:tcW w:w="80" w:type="dxa"/>
            <w:vAlign w:val="bottom"/>
          </w:tcPr>
          <w:p>
            <w:pPr>
              <w:spacing w:after="0"/>
              <w:rPr>
                <w:sz w:val="17"/>
                <w:szCs w:val="17"/>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Weighted-Average Life (in years)</w:t>
            </w:r>
          </w:p>
        </w:tc>
      </w:tr>
      <w:tr>
        <w:trPr>
          <w:trHeight w:val="200"/>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Customer relationships</w:t>
            </w:r>
          </w:p>
        </w:tc>
        <w:tc>
          <w:tcPr>
            <w:tcW w:w="1020" w:type="dxa"/>
            <w:vAlign w:val="bottom"/>
          </w:tcPr>
          <w:p>
            <w:pPr>
              <w:jc w:val="right"/>
              <w:ind w:right="823"/>
              <w:spacing w:after="0"/>
              <w:rPr>
                <w:sz w:val="20"/>
                <w:szCs w:val="20"/>
                <w:color w:val="auto"/>
              </w:rPr>
            </w:pPr>
            <w:r>
              <w:rPr>
                <w:rFonts w:ascii="Arial" w:cs="Arial" w:eastAsia="Arial" w:hAnsi="Arial"/>
                <w:sz w:val="15"/>
                <w:szCs w:val="15"/>
                <w:b w:val="1"/>
                <w:bCs w:val="1"/>
                <w:color w:val="auto"/>
              </w:rPr>
              <w:t>$</w:t>
            </w:r>
          </w:p>
        </w:tc>
        <w:tc>
          <w:tcPr>
            <w:tcW w:w="1460" w:type="dxa"/>
            <w:vAlign w:val="bottom"/>
          </w:tcPr>
          <w:p>
            <w:pPr>
              <w:jc w:val="right"/>
              <w:ind w:right="3"/>
              <w:spacing w:after="0"/>
              <w:rPr>
                <w:sz w:val="20"/>
                <w:szCs w:val="20"/>
                <w:color w:val="auto"/>
              </w:rPr>
            </w:pPr>
            <w:r>
              <w:rPr>
                <w:rFonts w:ascii="Arial" w:cs="Arial" w:eastAsia="Arial" w:hAnsi="Arial"/>
                <w:sz w:val="15"/>
                <w:szCs w:val="15"/>
                <w:b w:val="1"/>
                <w:bCs w:val="1"/>
                <w:color w:val="auto"/>
              </w:rPr>
              <w:t>32,165</w:t>
            </w:r>
          </w:p>
        </w:tc>
        <w:tc>
          <w:tcPr>
            <w:tcW w:w="80" w:type="dxa"/>
            <w:vAlign w:val="bottom"/>
          </w:tcPr>
          <w:p>
            <w:pPr>
              <w:spacing w:after="0"/>
              <w:rPr>
                <w:sz w:val="17"/>
                <w:szCs w:val="17"/>
                <w:color w:val="auto"/>
              </w:rPr>
            </w:pPr>
          </w:p>
        </w:tc>
        <w:tc>
          <w:tcPr>
            <w:tcW w:w="3000" w:type="dxa"/>
            <w:vAlign w:val="bottom"/>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0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Reacquired franchise rights</w:t>
            </w:r>
          </w:p>
        </w:tc>
        <w:tc>
          <w:tcPr>
            <w:tcW w:w="10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15,975</w:t>
            </w:r>
          </w:p>
        </w:tc>
        <w:tc>
          <w:tcPr>
            <w:tcW w:w="3080" w:type="dxa"/>
            <w:vAlign w:val="bottom"/>
            <w:gridSpan w:val="2"/>
            <w:shd w:val="clear" w:color="auto" w:fill="CCEEFF"/>
          </w:tcPr>
          <w:p>
            <w:pPr>
              <w:jc w:val="right"/>
              <w:ind w:right="1386"/>
              <w:spacing w:after="0"/>
              <w:rPr>
                <w:sz w:val="20"/>
                <w:szCs w:val="20"/>
                <w:color w:val="auto"/>
              </w:rPr>
            </w:pPr>
            <w:r>
              <w:rPr>
                <w:rFonts w:ascii="Arial" w:cs="Arial" w:eastAsia="Arial" w:hAnsi="Arial"/>
                <w:sz w:val="15"/>
                <w:szCs w:val="15"/>
                <w:b w:val="1"/>
                <w:bCs w:val="1"/>
                <w:color w:val="auto"/>
              </w:rPr>
              <w:t>6</w:t>
            </w:r>
          </w:p>
        </w:tc>
      </w:tr>
      <w:tr>
        <w:trPr>
          <w:trHeight w:val="206"/>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Internally-developed software</w:t>
            </w:r>
          </w:p>
        </w:tc>
        <w:tc>
          <w:tcPr>
            <w:tcW w:w="10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b w:val="1"/>
                <w:bCs w:val="1"/>
                <w:color w:val="auto"/>
              </w:rPr>
              <w:t>1,770</w:t>
            </w:r>
          </w:p>
        </w:tc>
        <w:tc>
          <w:tcPr>
            <w:tcW w:w="3080" w:type="dxa"/>
            <w:vAlign w:val="bottom"/>
            <w:gridSpan w:val="2"/>
          </w:tcPr>
          <w:p>
            <w:pPr>
              <w:jc w:val="right"/>
              <w:ind w:right="1386"/>
              <w:spacing w:after="0"/>
              <w:rPr>
                <w:sz w:val="20"/>
                <w:szCs w:val="20"/>
                <w:color w:val="auto"/>
              </w:rPr>
            </w:pPr>
            <w:r>
              <w:rPr>
                <w:rFonts w:ascii="Arial" w:cs="Arial" w:eastAsia="Arial" w:hAnsi="Arial"/>
                <w:sz w:val="15"/>
                <w:szCs w:val="15"/>
                <w:b w:val="1"/>
                <w:bCs w:val="1"/>
                <w:color w:val="auto"/>
              </w:rPr>
              <w:t>3</w:t>
            </w:r>
          </w:p>
        </w:tc>
      </w:tr>
      <w:tr>
        <w:trPr>
          <w:trHeight w:val="20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Noncompete agreements</w:t>
            </w:r>
          </w:p>
        </w:tc>
        <w:tc>
          <w:tcPr>
            <w:tcW w:w="10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1,437</w:t>
            </w:r>
          </w:p>
        </w:tc>
        <w:tc>
          <w:tcPr>
            <w:tcW w:w="3080" w:type="dxa"/>
            <w:vAlign w:val="bottom"/>
            <w:gridSpan w:val="2"/>
            <w:shd w:val="clear" w:color="auto" w:fill="CCEEFF"/>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36"/>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w:t>
            </w: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51,347</w:t>
            </w:r>
          </w:p>
        </w:tc>
        <w:tc>
          <w:tcPr>
            <w:tcW w:w="3080" w:type="dxa"/>
            <w:vAlign w:val="bottom"/>
            <w:tcBorders>
              <w:bottom w:val="single" w:sz="8" w:color="CCEEFF"/>
            </w:tcBorders>
            <w:gridSpan w:val="2"/>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0"/>
        </w:trPr>
        <w:tc>
          <w:tcPr>
            <w:tcW w:w="56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000" w:type="dxa"/>
            <w:vAlign w:val="bottom"/>
            <w:tcBorders>
              <w:top w:val="single" w:sz="8" w:color="CCEEFF"/>
            </w:tcBorders>
            <w:shd w:val="clear" w:color="auto" w:fill="000000"/>
          </w:tcPr>
          <w:p>
            <w:pPr>
              <w:spacing w:after="0" w:line="20" w:lineRule="exact"/>
              <w:rPr>
                <w:sz w:val="1"/>
                <w:szCs w:val="1"/>
                <w:color w:val="auto"/>
              </w:rPr>
            </w:pPr>
          </w:p>
        </w:tc>
      </w:tr>
    </w:tbl>
    <w:p>
      <w:pPr>
        <w:spacing w:after="0" w:line="177"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Amortization of intangible assets for the three and nine months ended March 31, 2026 was $12.3 million and $34.7 million respectively, compared to $11.3 million and $36.3 million for the three and nine months ended March 31, 2025. Estimated amortization of intangible assets for fiscal years ending June 30, 2026, 2027, 2028, 2029, and 2030 is $47.2 million, $44.9 million, $36.5 million, $27.6 million and $17.6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588645</wp:posOffset>
            </wp:positionV>
            <wp:extent cx="220980" cy="122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380"/>
        <w:spacing w:after="0"/>
        <w:tabs>
          <w:tab w:leader="none" w:pos="109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sz w:val="20"/>
          <w:szCs w:val="20"/>
          <w:color w:val="auto"/>
        </w:rPr>
        <w:tab/>
      </w:r>
      <w:r>
        <w:rPr>
          <w:rFonts w:ascii="Arial" w:cs="Arial" w:eastAsia="Arial" w:hAnsi="Arial"/>
          <w:sz w:val="11"/>
          <w:szCs w:val="11"/>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6: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long-term debt are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2026</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June 30, 2025</w:t>
            </w:r>
          </w:p>
        </w:tc>
      </w:tr>
      <w:tr>
        <w:trPr>
          <w:trHeight w:val="199"/>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Senior Notes, 5.250%, due October 2025</w:t>
            </w:r>
          </w:p>
        </w:tc>
        <w:tc>
          <w:tcPr>
            <w:tcW w:w="460" w:type="dxa"/>
            <w:vAlign w:val="bottom"/>
          </w:tcPr>
          <w:p>
            <w:pPr>
              <w:jc w:val="right"/>
              <w:ind w:right="263"/>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350,000</w:t>
            </w:r>
          </w:p>
        </w:tc>
      </w:tr>
      <w:tr>
        <w:trPr>
          <w:trHeight w:val="20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Senior Notes, 2.500%, due July 2028</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500,000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500,000</w:t>
            </w:r>
          </w:p>
        </w:tc>
      </w:tr>
      <w:tr>
        <w:trPr>
          <w:trHeight w:val="206"/>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Senior Notes, 3.875%, due August 2030</w:t>
            </w: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650,000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650,000</w:t>
            </w:r>
          </w:p>
        </w:tc>
      </w:tr>
      <w:tr>
        <w:trPr>
          <w:trHeight w:val="20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Senior Notes, 5.375%, due September 2032</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350,000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6"/>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Debt issuance costs and discounts</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(9,067)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(6,802)</w:t>
            </w:r>
          </w:p>
        </w:tc>
      </w:tr>
      <w:tr>
        <w:trPr>
          <w:trHeight w:val="199"/>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long-term debt</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1,490,933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1,493,198</w:t>
            </w:r>
          </w:p>
        </w:tc>
      </w:tr>
      <w:tr>
        <w:trPr>
          <w:trHeight w:val="206"/>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Less: Current portion</w:t>
            </w:r>
          </w:p>
        </w:tc>
        <w:tc>
          <w:tcPr>
            <w:tcW w:w="46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(349,893)</w:t>
            </w:r>
          </w:p>
        </w:tc>
      </w:tr>
      <w:tr>
        <w:trPr>
          <w:trHeight w:val="199"/>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Long-term portion</w:t>
            </w:r>
          </w:p>
        </w:tc>
        <w:tc>
          <w:tcPr>
            <w:tcW w:w="46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1,490,933</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1,143,305</w:t>
            </w:r>
          </w:p>
        </w:tc>
      </w:tr>
      <w:tr>
        <w:trPr>
          <w:trHeight w:val="231"/>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Estimated fair value of long-term debt</w:t>
            </w:r>
          </w:p>
        </w:tc>
        <w:tc>
          <w:tcPr>
            <w:tcW w:w="460" w:type="dxa"/>
            <w:vAlign w:val="bottom"/>
            <w:tcBorders>
              <w:bottom w:val="single" w:sz="8" w:color="CCEEFF"/>
            </w:tcBorders>
          </w:tcPr>
          <w:p>
            <w:pPr>
              <w:jc w:val="right"/>
              <w:ind w:right="263"/>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1,422,000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jc w:val="right"/>
              <w:ind w:right="32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1,437,000</w:t>
            </w:r>
          </w:p>
        </w:tc>
      </w:tr>
      <w:tr>
        <w:trPr>
          <w:trHeight w:val="20"/>
        </w:trPr>
        <w:tc>
          <w:tcPr>
            <w:tcW w:w="7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77"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On August 26, 2025, we issued $350.0 million of 5.375% Senior Notes due September 15, 2032 (2032 Senior Notes). The 2032 Senior Notes are not redeemable by the bondholders prior to maturity, although we have the right to redeem some or all of these notes at any time, at specified redemption prices. The net proceeds from the 2032 Senior Notes were used for general corporate purposes, which includes, among other uses, the redemption of the $350.0 million in principal outstanding of our 5.250% notes due October 2025 (2025 Senior Notes). We redeemed our 2025 Senior Notes at 100% of the principal amount, plus accrued and unpaid interest, on September 19, 2025.</w:t>
      </w:r>
    </w:p>
    <w:p>
      <w:pPr>
        <w:spacing w:after="0" w:line="66"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b w:val="1"/>
          <w:bCs w:val="1"/>
          <w:color w:val="auto"/>
        </w:rPr>
        <w:t xml:space="preserve">UNSECURED COMMITTED LINE OF CREDIT – </w:t>
      </w:r>
      <w:r>
        <w:rPr>
          <w:rFonts w:ascii="Arial" w:cs="Arial" w:eastAsia="Arial" w:hAnsi="Arial"/>
          <w:sz w:val="17"/>
          <w:szCs w:val="17"/>
          <w:color w:val="auto"/>
        </w:rPr>
        <w:t>On July 11, 2025, we entered into a Fifth Amended and Restated Credit and Guarantee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(2025 CLOC), which amended and restated our Fourth Amended and Restated Credit and Guarantee Agreement, extended the scheduled maturity date to July 11, 2030, maintained the aggregate principal amount of $1.5 billion, and revised the interest rate table. All other material terms remain substantially unchanged from our previous CLOC.</w:t>
      </w:r>
    </w:p>
    <w:p>
      <w:pPr>
        <w:spacing w:after="0" w:line="64" w:lineRule="exact"/>
        <w:rPr>
          <w:sz w:val="20"/>
          <w:szCs w:val="20"/>
          <w:color w:val="auto"/>
        </w:rPr>
      </w:pPr>
    </w:p>
    <w:p>
      <w:pPr>
        <w:jc w:val="both"/>
        <w:ind w:firstLine="232"/>
        <w:spacing w:after="0" w:line="261" w:lineRule="auto"/>
        <w:rPr>
          <w:sz w:val="20"/>
          <w:szCs w:val="20"/>
          <w:color w:val="auto"/>
        </w:rPr>
      </w:pPr>
      <w:r>
        <w:rPr>
          <w:rFonts w:ascii="Arial" w:cs="Arial" w:eastAsia="Arial" w:hAnsi="Arial"/>
          <w:sz w:val="17"/>
          <w:szCs w:val="17"/>
          <w:color w:val="auto"/>
        </w:rPr>
        <w:t>The 2025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2025 CLOC will mature on July 11, 2030, unless extended pursuant to the terms of the 2025 CLOC, at which time all outstanding amounts thereunder will be due and payable. Our 2025 CLOC includes an annual facility fee, which will vary depending on our then current credit ratings.</w:t>
      </w:r>
    </w:p>
    <w:p>
      <w:pPr>
        <w:spacing w:after="0" w:line="278"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The 2025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2025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2025 CLOC includes provisions for an equity cure which could potentially allow us to independently cure certain defaults. Proceeds under the 2025 CLOC may be used for working capital needs or for other general corporate purposes. We were in compliance with these requirements as of March 31, 2026.</w:t>
      </w:r>
    </w:p>
    <w:p>
      <w:pPr>
        <w:spacing w:after="0" w:line="73"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We had no outstanding balance under our CLOC and amounts available to borrow were not limited by the debt-to-EBITDA covenant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578485</wp:posOffset>
            </wp:positionV>
            <wp:extent cx="212725"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hanging="266"/>
        <w:spacing w:after="0"/>
        <w:tabs>
          <w:tab w:leader="none" w:pos="36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7: INCOME TAXES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file a consolidated U.S. federal income tax return with the Internal Revenue Service (IRS) and also file income tax returns in various state, local, and foreign jurisdictions.</w:t>
      </w:r>
    </w:p>
    <w:p>
      <w:pPr>
        <w:spacing w:after="0" w:line="43"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color w:val="auto"/>
        </w:rPr>
        <w:t>On July 4, 2025, H.R. 1 was signed into law. The legislation did not have a material impact on our income tax expense for the nine months ended March 31, 2026, and we do not expect it to materially impact our effective income tax rate for the fiscal year ending June 30, 2026.</w:t>
      </w:r>
    </w:p>
    <w:p>
      <w:pPr>
        <w:spacing w:after="0" w:line="43"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Our effective income tax rate on continuing operations, including the impact of discrete tax items, was 8.1% for the nine months ended March 31, 2026, compared to 25.3% for the nine months ended March 31, 2025. Discrete tax items decreased the effective tax rate by 16.1% for the nine months ended March 31, 2026, and increased the effective tax rate by 0.9% for the nine months ended March 31, 2025. We recorded a discrete income tax benefit of $77.6 million for the nine months ended March 31, 2026, compared to a discrete income tax expense of $3.8 million for the nine months ended March 31, 2025.</w:t>
      </w:r>
    </w:p>
    <w:p>
      <w:pPr>
        <w:spacing w:after="0" w:line="68" w:lineRule="exact"/>
        <w:rPr>
          <w:sz w:val="20"/>
          <w:szCs w:val="20"/>
          <w:color w:val="auto"/>
        </w:rPr>
      </w:pPr>
    </w:p>
    <w:p>
      <w:pPr>
        <w:jc w:val="both"/>
        <w:ind w:firstLine="193"/>
        <w:spacing w:after="0" w:line="260" w:lineRule="auto"/>
        <w:rPr>
          <w:sz w:val="20"/>
          <w:szCs w:val="20"/>
          <w:color w:val="auto"/>
        </w:rPr>
      </w:pPr>
      <w:r>
        <w:rPr>
          <w:rFonts w:ascii="Arial" w:cs="Arial" w:eastAsia="Arial" w:hAnsi="Arial"/>
          <w:sz w:val="17"/>
          <w:szCs w:val="17"/>
          <w:color w:val="auto"/>
        </w:rPr>
        <w:t>The discrete income tax benefit recognized during the current year period was primarily attributable to the settlement of an IRS examination of our 2020 U.S. federal income tax return and related carryback claims to the 2015 through 2018 tax years. The closure of the IRS examination resulted in a discrete income tax benefit of $ 84.1 million, which was recorded in income tax expense. The benefit primarily reflects the release of the related unrecognized tax benefits, including reversal of accrued interest through the date of settlement. Due to the seasonality of our business, the impact of discrete tax items on our effective income tax rate for the nine months ended March 31, 2026 is greater than the expected impact on our projected full-year effective income tax rate.</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Changes in gross unrecognized tax benefits for the nine months ended March 31, 2026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9040" w:type="dxa"/>
            <w:vAlign w:val="bottom"/>
          </w:tcPr>
          <w:p>
            <w:pPr>
              <w:ind w:left="20"/>
              <w:spacing w:after="0"/>
              <w:rPr>
                <w:sz w:val="20"/>
                <w:szCs w:val="20"/>
                <w:color w:val="auto"/>
              </w:rPr>
            </w:pPr>
            <w:r>
              <w:rPr>
                <w:rFonts w:ascii="Arial" w:cs="Arial" w:eastAsia="Arial" w:hAnsi="Arial"/>
                <w:sz w:val="15"/>
                <w:szCs w:val="15"/>
                <w:color w:val="auto"/>
              </w:rPr>
              <w:t>Balances as of July 1, 2025</w:t>
            </w:r>
          </w:p>
        </w:tc>
        <w:tc>
          <w:tcPr>
            <w:tcW w:w="820" w:type="dxa"/>
            <w:vAlign w:val="bottom"/>
          </w:tcPr>
          <w:p>
            <w:pPr>
              <w:jc w:val="right"/>
              <w:ind w:right="6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266,548</w:t>
            </w:r>
          </w:p>
        </w:tc>
      </w:tr>
      <w:tr>
        <w:trPr>
          <w:trHeight w:val="207"/>
        </w:trPr>
        <w:tc>
          <w:tcPr>
            <w:tcW w:w="9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based on tax positions related to prior years</w:t>
            </w: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w:t>
            </w:r>
          </w:p>
        </w:tc>
      </w:tr>
      <w:tr>
        <w:trPr>
          <w:trHeight w:val="205"/>
        </w:trPr>
        <w:tc>
          <w:tcPr>
            <w:tcW w:w="9040" w:type="dxa"/>
            <w:vAlign w:val="bottom"/>
          </w:tcPr>
          <w:p>
            <w:pPr>
              <w:ind w:left="20"/>
              <w:spacing w:after="0"/>
              <w:rPr>
                <w:sz w:val="20"/>
                <w:szCs w:val="20"/>
                <w:color w:val="auto"/>
              </w:rPr>
            </w:pPr>
            <w:r>
              <w:rPr>
                <w:rFonts w:ascii="Arial" w:cs="Arial" w:eastAsia="Arial" w:hAnsi="Arial"/>
                <w:sz w:val="15"/>
                <w:szCs w:val="15"/>
                <w:color w:val="auto"/>
              </w:rPr>
              <w:t>Reductions based on tax positions related to prior years</w:t>
            </w:r>
          </w:p>
        </w:tc>
        <w:tc>
          <w:tcPr>
            <w:tcW w:w="8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(2,998)</w:t>
            </w:r>
          </w:p>
        </w:tc>
      </w:tr>
      <w:tr>
        <w:trPr>
          <w:trHeight w:val="207"/>
        </w:trPr>
        <w:tc>
          <w:tcPr>
            <w:tcW w:w="9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based on tax positions related to the current year</w:t>
            </w: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16,998</w:t>
            </w:r>
          </w:p>
        </w:tc>
      </w:tr>
      <w:tr>
        <w:trPr>
          <w:trHeight w:val="205"/>
        </w:trPr>
        <w:tc>
          <w:tcPr>
            <w:tcW w:w="9040" w:type="dxa"/>
            <w:vAlign w:val="bottom"/>
          </w:tcPr>
          <w:p>
            <w:pPr>
              <w:ind w:left="20"/>
              <w:spacing w:after="0"/>
              <w:rPr>
                <w:sz w:val="20"/>
                <w:szCs w:val="20"/>
                <w:color w:val="auto"/>
              </w:rPr>
            </w:pPr>
            <w:r>
              <w:rPr>
                <w:rFonts w:ascii="Arial" w:cs="Arial" w:eastAsia="Arial" w:hAnsi="Arial"/>
                <w:sz w:val="15"/>
                <w:szCs w:val="15"/>
                <w:color w:val="auto"/>
              </w:rPr>
              <w:t>Reductions related to settlements with tax authorities</w:t>
            </w:r>
          </w:p>
        </w:tc>
        <w:tc>
          <w:tcPr>
            <w:tcW w:w="8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(122,159)</w:t>
            </w:r>
          </w:p>
        </w:tc>
      </w:tr>
      <w:tr>
        <w:trPr>
          <w:trHeight w:val="207"/>
        </w:trPr>
        <w:tc>
          <w:tcPr>
            <w:tcW w:w="9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Expiration of statute of limitations</w:t>
            </w:r>
          </w:p>
        </w:tc>
        <w:tc>
          <w:tcPr>
            <w:tcW w:w="8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(1,182)</w:t>
            </w:r>
          </w:p>
        </w:tc>
      </w:tr>
      <w:tr>
        <w:trPr>
          <w:trHeight w:val="236"/>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Balance as of March 31, 2026</w:t>
            </w: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157,735</w:t>
            </w:r>
          </w:p>
        </w:tc>
      </w:tr>
      <w:tr>
        <w:trPr>
          <w:trHeight w:val="20"/>
        </w:trPr>
        <w:tc>
          <w:tcPr>
            <w:tcW w:w="904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38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8: COMMITMENTS AND CONTINGENCIES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U.S. and Canadian businesses offer our 100% accuracy guarantee. Assisted tax returns are covered by our 100% accuracy guarantee, whereby we will reimburse a client for penalties and interest attributable to an H&amp;R Block error on a return. Similarly, DIY tax returns are covered by our 100% accuracy guarantee, whereby we will reimburse a client (up to a maximum of $10,000 in the U.S.) if our software makes an arithmetic error that results in payment of penalties and/or interest to the respective taxing authority that a client would otherwise not have been required to pay. Our liability related to estimated losses under the 100% accuracy guarantee was $12.4 million and $11.4 million as of March 31, 2026 and June 30, 2025, respectively. The short-term and long-term portions of this liability are included in deferred revenue and other liabilities in the consolidated balance sheets.</w:t>
      </w:r>
    </w:p>
    <w:p>
      <w:pPr>
        <w:spacing w:after="0" w:line="70"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$28.0 million and $29.6 million as of March 31, 2026 and June 30, 2025 respectively, with amounts recorded in deferred revenue and other liabilities. Should actual results differ from our estimates, future payments made will differ from the above estimate and any differences will be recorded in results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601980</wp:posOffset>
            </wp:positionV>
            <wp:extent cx="220980" cy="122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We have contractual commitments to fund certain franchises with approved short-term lines of credit for the purpose of meeting their seasonal working capital needs. Our total obligation under these lines of credit was $22.6 million at March 31, 2026, and net of amounts drawn and outstanding, our remaining commitment to fund totaled $11.2 million.</w:t>
      </w:r>
    </w:p>
    <w:p>
      <w:pPr>
        <w:spacing w:after="0" w:line="60"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Emerald Advance® term loans are originated by Pathward® N.A. (Pathward). We purchase participation interests, at par, in all EAs originated by Pathward in accordance with our participation agreement. Our participation interest varies by jurisdiction. For the nine months ended March 31, 2026, the principal balance of purchased participation interests for the current year totaled $283.7 million, which represents 87% of total EA volume originated by Pathward.</w:t>
      </w:r>
    </w:p>
    <w:p>
      <w:pPr>
        <w:spacing w:after="0" w:line="65"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Refund Advance loans are originated by Pathward and offered to certain assisted U.S. tax preparation clients, based on client eligibility as determined by Pathward. We pay fees primarily based on loan size and customer type. We have provided a guarantee up to $18.0 million related to certain loans to clients prior to the IRS accepting electronic filing. At March 31, 2026 and June 30, 2025, we accrued an estimated liability of $2.2 million related to this guarantee.</w:t>
      </w:r>
    </w:p>
    <w:p>
      <w:pPr>
        <w:spacing w:after="0" w:line="59"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9: LITIGATION AND OTHER RELATED CONTINGENCIES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a defendant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In addition, jurisdictions may permit plaintiffs to allege monetary damages in amounts well exceeding reasonably possible verdicts in the jurisdiction for similar matters. We believe that the monetary relief which may be specified in a lawsuit or claim bears little relevance to its merits or disposition value due to this variability in pleadings and our experience in handling and resolving numerous claims over an extended period of time.</w:t>
      </w:r>
    </w:p>
    <w:p>
      <w:pPr>
        <w:spacing w:after="0" w:line="72"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Disposition valuations are also subject to the uncertainty of how opposing parties and their counsel will view the relevant evidence and applicable law.</w:t>
      </w:r>
    </w:p>
    <w:p>
      <w:pPr>
        <w:spacing w:after="0" w:line="65"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color w:val="auto"/>
        </w:rPr>
        <w:t>In addition to litigation and arbitration matters, we are also subject to other loss contingencies arising out of our business activities, including as described below.</w:t>
      </w:r>
    </w:p>
    <w:p>
      <w:pPr>
        <w:spacing w:after="0" w:line="43"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65" w:lineRule="exact"/>
        <w:rPr>
          <w:sz w:val="20"/>
          <w:szCs w:val="20"/>
          <w:color w:val="auto"/>
        </w:rPr>
      </w:pPr>
    </w:p>
    <w:p>
      <w:pPr>
        <w:jc w:val="both"/>
        <w:ind w:firstLine="193"/>
        <w:spacing w:after="0" w:line="260" w:lineRule="auto"/>
        <w:rPr>
          <w:sz w:val="20"/>
          <w:szCs w:val="20"/>
          <w:color w:val="auto"/>
        </w:rPr>
      </w:pPr>
      <w:r>
        <w:rPr>
          <w:rFonts w:ascii="Arial" w:cs="Arial" w:eastAsia="Arial" w:hAnsi="Arial"/>
          <w:sz w:val="17"/>
          <w:szCs w:val="17"/>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March 31, 2026.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Our accrued liabilities were $13.3 million and $6.2 million as of March 31, 2026 and June 30, 2025, respectively.</w:t>
      </w:r>
    </w:p>
    <w:p>
      <w:pPr>
        <w:spacing w:after="0" w:line="70"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596900</wp:posOffset>
            </wp:positionV>
            <wp:extent cx="212725" cy="122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hanging="266"/>
        <w:spacing w:after="0"/>
        <w:tabs>
          <w:tab w:leader="none" w:pos="360" w:val="left"/>
        </w:tabs>
        <w:numPr>
          <w:ilvl w:val="0"/>
          <w:numId w:val="11"/>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represents those losses as to which we are currently able to estimate a reasonably possible loss or range of loss. It does not represent our maximum loss exposure.</w:t>
      </w:r>
    </w:p>
    <w:p>
      <w:pPr>
        <w:spacing w:after="0" w:line="43"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spacing w:after="0" w:line="68"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March 31, 2026, we believe the estimate of the aggregate range of reasonably possible losses in excess of amounts accrued, where the range of loss can be estimated, is not material.</w:t>
      </w:r>
    </w:p>
    <w:p>
      <w:pPr>
        <w:spacing w:after="0" w:line="65"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65"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68"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We have received and are responding to certain governmental inquiries, class actions and mass arbitrations relating to the IRS Free File Program and other aspects of our DIY tax preparation services, including the use of pixels. An accrual related to these matters is included in our loss contingency accrual.</w:t>
      </w:r>
    </w:p>
    <w:p>
      <w:pPr>
        <w:spacing w:after="0" w:line="60"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We are from time to time a party to litigation, arbitration and other loss contingencies not discussed herein arising out of our business operations. These matters may include actions by state attorneys general, other state regulators, federal regulators, individual plaintiffs, and cases in which plaintiffs seek to represent others who may be similarly situated.</w:t>
      </w:r>
    </w:p>
    <w:p>
      <w:pPr>
        <w:spacing w:after="0" w:line="60"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54"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10: SEGMENT INFORMATION</w:t>
      </w:r>
    </w:p>
    <w:p>
      <w:pPr>
        <w:spacing w:after="0" w:line="117" w:lineRule="exact"/>
        <w:rPr>
          <w:sz w:val="20"/>
          <w:szCs w:val="20"/>
          <w:color w:val="auto"/>
        </w:rPr>
      </w:pPr>
    </w:p>
    <w:p>
      <w:pPr>
        <w:jc w:val="both"/>
        <w:ind w:firstLine="232"/>
        <w:spacing w:after="0" w:line="251" w:lineRule="auto"/>
        <w:rPr>
          <w:sz w:val="20"/>
          <w:szCs w:val="20"/>
          <w:color w:val="auto"/>
        </w:rPr>
      </w:pPr>
      <w:r>
        <w:rPr>
          <w:rFonts w:ascii="Arial" w:cs="Arial" w:eastAsia="Arial" w:hAnsi="Arial"/>
          <w:sz w:val="17"/>
          <w:szCs w:val="17"/>
          <w:color w:val="auto"/>
        </w:rPr>
        <w:t>We provide assisted and DIY tax preparation solutions through multiple channels (including in-person, online and mobile applications, virtual, and desktop software) and distribute H&amp;R Block-branded services and products, including those of our bank partners, to the general public primarily in the U.S., Canada and Australia. Tax returns are prepared by H&amp;R Block tax professionals in one of our company-owned or franchise offices, virtually or via an online review, or they are prepared and filed by our clients through our DIY tax solutions. We also offer small business solutions through our company-owned and franchise offices (including in-person, online and virtual) and online through Wave. We report a single segment that includes all of our continuing operations. The majority of our revenues are from our U.S. tax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664210</wp:posOffset>
            </wp:positionV>
            <wp:extent cx="220980" cy="122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The Company's Chief Operating Decision Maker (CODM) is our chief executive officer, who regularly reviews consolidated financial information to evaluate financial performance and allocate resources. Specifically, the CODM uses revenues, operating expenses, net income and EBITDA at a consolidated level, as key financial metrics in deciding how to reinvest to grow the business. These financial metrics are used by the CODM to make operating decisions and identify growth opportunities. The measure of segment assets is total consolidated assets as presented on the consolidated balance sheet.</w:t>
      </w:r>
    </w:p>
    <w:p>
      <w:pPr>
        <w:spacing w:after="0" w:line="68"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The following table presents the significant revenue and expense categories included in the segment's net income from continuing operations as regularly provided to the CODM on a consolidated basis and then reconciled to net income for the three and nine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588645</wp:posOffset>
            </wp:positionV>
            <wp:extent cx="212725" cy="122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 w:hanging="266"/>
        <w:spacing w:after="0"/>
        <w:tabs>
          <w:tab w:leader="none" w:pos="360" w:val="left"/>
        </w:tabs>
        <w:numPr>
          <w:ilvl w:val="0"/>
          <w:numId w:val="12"/>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00" w:type="dxa"/>
        <w:tblCellMar>
          <w:top w:w="0" w:type="dxa"/>
          <w:left w:w="0" w:type="dxa"/>
          <w:bottom w:w="0" w:type="dxa"/>
          <w:right w:w="0" w:type="dxa"/>
        </w:tblCellMar>
      </w:tblPr>
      <w:tr>
        <w:trPr>
          <w:trHeight w:val="219"/>
        </w:trPr>
        <w:tc>
          <w:tcPr>
            <w:tcW w:w="43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Consolidated – Financial Results</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(in 000s, except per share amounts)</w:t>
            </w:r>
          </w:p>
        </w:tc>
        <w:tc>
          <w:tcPr>
            <w:tcW w:w="0" w:type="dxa"/>
            <w:vAlign w:val="bottom"/>
          </w:tcPr>
          <w:p>
            <w:pPr>
              <w:spacing w:after="0"/>
              <w:rPr>
                <w:sz w:val="1"/>
                <w:szCs w:val="1"/>
                <w:color w:val="auto"/>
              </w:rPr>
            </w:pPr>
          </w:p>
        </w:tc>
      </w:tr>
      <w:tr>
        <w:trPr>
          <w:trHeight w:val="198"/>
        </w:trPr>
        <w:tc>
          <w:tcPr>
            <w:tcW w:w="4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5"/>
                <w:szCs w:val="15"/>
                <w:color w:val="auto"/>
              </w:rPr>
              <w:t>Three months ended March 31,</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5"/>
                <w:szCs w:val="15"/>
                <w:color w:val="auto"/>
              </w:rPr>
              <w:t>Nine months ended March 31,</w:t>
            </w:r>
          </w:p>
        </w:tc>
        <w:tc>
          <w:tcPr>
            <w:tcW w:w="0" w:type="dxa"/>
            <w:vAlign w:val="bottom"/>
          </w:tcPr>
          <w:p>
            <w:pPr>
              <w:spacing w:after="0"/>
              <w:rPr>
                <w:sz w:val="1"/>
                <w:szCs w:val="1"/>
                <w:color w:val="auto"/>
              </w:rPr>
            </w:pPr>
          </w:p>
        </w:tc>
      </w:tr>
      <w:tr>
        <w:trPr>
          <w:trHeight w:val="200"/>
        </w:trPr>
        <w:tc>
          <w:tcPr>
            <w:tcW w:w="4360" w:type="dxa"/>
            <w:vAlign w:val="bottom"/>
            <w:gridSpan w:val="2"/>
            <w:vMerge w:val="restart"/>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185"/>
        </w:trPr>
        <w:tc>
          <w:tcPr>
            <w:tcW w:w="4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U.S. tax preparation and related services: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gridSpan w:val="2"/>
          </w:tcPr>
          <w:p>
            <w:pPr>
              <w:ind w:left="240"/>
              <w:spacing w:after="0"/>
              <w:rPr>
                <w:sz w:val="20"/>
                <w:szCs w:val="20"/>
                <w:color w:val="auto"/>
              </w:rPr>
            </w:pPr>
            <w:r>
              <w:rPr>
                <w:rFonts w:ascii="Arial" w:cs="Arial" w:eastAsia="Arial" w:hAnsi="Arial"/>
                <w:sz w:val="15"/>
                <w:szCs w:val="15"/>
                <w:color w:val="auto"/>
              </w:rPr>
              <w:t>Assisted tax preparation</w:t>
            </w:r>
          </w:p>
        </w:tc>
        <w:tc>
          <w:tcPr>
            <w:tcW w:w="34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1,742,135</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1,635,877</w:t>
            </w:r>
          </w:p>
        </w:tc>
        <w:tc>
          <w:tcPr>
            <w:tcW w:w="8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1,846,698</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1,727,220</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Royalties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128,182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133,961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139,139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143,312</w:t>
            </w:r>
          </w:p>
        </w:tc>
        <w:tc>
          <w:tcPr>
            <w:tcW w:w="0" w:type="dxa"/>
            <w:vAlign w:val="bottom"/>
          </w:tcPr>
          <w:p>
            <w:pPr>
              <w:spacing w:after="0"/>
              <w:rPr>
                <w:sz w:val="1"/>
                <w:szCs w:val="1"/>
                <w:color w:val="auto"/>
              </w:rPr>
            </w:pPr>
          </w:p>
        </w:tc>
      </w:tr>
      <w:tr>
        <w:trPr>
          <w:trHeight w:val="206"/>
        </w:trPr>
        <w:tc>
          <w:tcPr>
            <w:tcW w:w="4360" w:type="dxa"/>
            <w:vAlign w:val="bottom"/>
            <w:gridSpan w:val="2"/>
          </w:tcPr>
          <w:p>
            <w:pPr>
              <w:ind w:left="220"/>
              <w:spacing w:after="0"/>
              <w:rPr>
                <w:sz w:val="20"/>
                <w:szCs w:val="20"/>
                <w:color w:val="auto"/>
              </w:rPr>
            </w:pPr>
            <w:r>
              <w:rPr>
                <w:rFonts w:ascii="Arial" w:cs="Arial" w:eastAsia="Arial" w:hAnsi="Arial"/>
                <w:sz w:val="15"/>
                <w:szCs w:val="15"/>
                <w:color w:val="auto"/>
              </w:rPr>
              <w:t>DIY tax preparation</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215,245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214,666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235,797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231,646</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Refund Transfers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119,935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113,732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121,416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115,229</w:t>
            </w:r>
          </w:p>
        </w:tc>
        <w:tc>
          <w:tcPr>
            <w:tcW w:w="0" w:type="dxa"/>
            <w:vAlign w:val="bottom"/>
          </w:tcPr>
          <w:p>
            <w:pPr>
              <w:spacing w:after="0"/>
              <w:rPr>
                <w:sz w:val="1"/>
                <w:szCs w:val="1"/>
                <w:color w:val="auto"/>
              </w:rPr>
            </w:pPr>
          </w:p>
        </w:tc>
      </w:tr>
      <w:tr>
        <w:trPr>
          <w:trHeight w:val="206"/>
        </w:trPr>
        <w:tc>
          <w:tcPr>
            <w:tcW w:w="4360" w:type="dxa"/>
            <w:vAlign w:val="bottom"/>
            <w:gridSpan w:val="2"/>
          </w:tcPr>
          <w:p>
            <w:pPr>
              <w:ind w:left="220"/>
              <w:spacing w:after="0"/>
              <w:rPr>
                <w:sz w:val="20"/>
                <w:szCs w:val="20"/>
                <w:color w:val="auto"/>
              </w:rPr>
            </w:pPr>
            <w:r>
              <w:rPr>
                <w:rFonts w:ascii="Arial" w:cs="Arial" w:eastAsia="Arial" w:hAnsi="Arial"/>
                <w:sz w:val="15"/>
                <w:szCs w:val="15"/>
                <w:color w:val="auto"/>
              </w:rPr>
              <w:t>Peace of Mind® Extended Service Plan</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14,347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15,625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54,087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54,867</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Tax Identity Shield®</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8,485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7,025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16,851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14,947</w:t>
            </w:r>
          </w:p>
        </w:tc>
        <w:tc>
          <w:tcPr>
            <w:tcW w:w="0" w:type="dxa"/>
            <w:vAlign w:val="bottom"/>
          </w:tcPr>
          <w:p>
            <w:pPr>
              <w:spacing w:after="0"/>
              <w:rPr>
                <w:sz w:val="1"/>
                <w:szCs w:val="1"/>
                <w:color w:val="auto"/>
              </w:rPr>
            </w:pPr>
          </w:p>
        </w:tc>
      </w:tr>
      <w:tr>
        <w:trPr>
          <w:trHeight w:val="206"/>
        </w:trPr>
        <w:tc>
          <w:tcPr>
            <w:tcW w:w="4360" w:type="dxa"/>
            <w:vAlign w:val="bottom"/>
            <w:gridSpan w:val="2"/>
          </w:tcPr>
          <w:p>
            <w:pPr>
              <w:ind w:left="240"/>
              <w:spacing w:after="0" w:line="207"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39,590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40,195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56,566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59,169</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Interest and fee income on Emerald Advance®</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15,198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14,286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28,644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26,594</w:t>
            </w:r>
          </w:p>
        </w:tc>
        <w:tc>
          <w:tcPr>
            <w:tcW w:w="0" w:type="dxa"/>
            <w:vAlign w:val="bottom"/>
          </w:tcPr>
          <w:p>
            <w:pPr>
              <w:spacing w:after="0"/>
              <w:rPr>
                <w:sz w:val="1"/>
                <w:szCs w:val="1"/>
                <w:color w:val="auto"/>
              </w:rPr>
            </w:pPr>
          </w:p>
        </w:tc>
      </w:tr>
      <w:tr>
        <w:trPr>
          <w:trHeight w:val="206"/>
        </w:trPr>
        <w:tc>
          <w:tcPr>
            <w:tcW w:w="4360" w:type="dxa"/>
            <w:vAlign w:val="bottom"/>
            <w:gridSpan w:val="2"/>
          </w:tcPr>
          <w:p>
            <w:pPr>
              <w:ind w:left="240"/>
              <w:spacing w:after="0"/>
              <w:rPr>
                <w:sz w:val="20"/>
                <w:szCs w:val="20"/>
                <w:color w:val="auto"/>
              </w:rPr>
            </w:pPr>
            <w:r>
              <w:rPr>
                <w:rFonts w:ascii="Arial" w:cs="Arial" w:eastAsia="Arial" w:hAnsi="Arial"/>
                <w:sz w:val="15"/>
                <w:szCs w:val="15"/>
                <w:color w:val="auto"/>
              </w:rPr>
              <w:t>International</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70,119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60,438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170,498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157,104</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Wave</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29,871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26,717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89,506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79,681</w:t>
            </w: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15,000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14,582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41,321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40,215</w:t>
            </w:r>
          </w:p>
        </w:tc>
        <w:tc>
          <w:tcPr>
            <w:tcW w:w="0" w:type="dxa"/>
            <w:vAlign w:val="bottom"/>
          </w:tcPr>
          <w:p>
            <w:pPr>
              <w:spacing w:after="0"/>
              <w:rPr>
                <w:sz w:val="1"/>
                <w:szCs w:val="1"/>
                <w:color w:val="auto"/>
              </w:rPr>
            </w:pPr>
          </w:p>
        </w:tc>
      </w:tr>
      <w:tr>
        <w:trPr>
          <w:trHeight w:val="199"/>
        </w:trPr>
        <w:tc>
          <w:tcPr>
            <w:tcW w:w="43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Total revenues</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2,398,107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2,277,104</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2,800,523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2,649,984</w:t>
            </w:r>
          </w:p>
        </w:tc>
        <w:tc>
          <w:tcPr>
            <w:tcW w:w="0" w:type="dxa"/>
            <w:vAlign w:val="bottom"/>
          </w:tcPr>
          <w:p>
            <w:pPr>
              <w:spacing w:after="0"/>
              <w:rPr>
                <w:sz w:val="1"/>
                <w:szCs w:val="1"/>
                <w:color w:val="auto"/>
              </w:rPr>
            </w:pPr>
          </w:p>
        </w:tc>
      </w:tr>
      <w:tr>
        <w:trPr>
          <w:trHeight w:val="185"/>
        </w:trPr>
        <w:tc>
          <w:tcPr>
            <w:tcW w:w="4360" w:type="dxa"/>
            <w:vAlign w:val="bottom"/>
            <w:gridSpan w:val="2"/>
          </w:tcPr>
          <w:p>
            <w:pPr>
              <w:ind w:left="20"/>
              <w:spacing w:after="0"/>
              <w:rPr>
                <w:sz w:val="20"/>
                <w:szCs w:val="20"/>
                <w:color w:val="auto"/>
              </w:rPr>
            </w:pPr>
            <w:r>
              <w:rPr>
                <w:rFonts w:ascii="Arial" w:cs="Arial" w:eastAsia="Arial" w:hAnsi="Arial"/>
                <w:sz w:val="15"/>
                <w:szCs w:val="15"/>
                <w:color w:val="auto"/>
              </w:rPr>
              <w:t>Compensation and benefits: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Field wages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577,513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532,916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741,405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682,575</w:t>
            </w:r>
          </w:p>
        </w:tc>
        <w:tc>
          <w:tcPr>
            <w:tcW w:w="0" w:type="dxa"/>
            <w:vAlign w:val="bottom"/>
          </w:tcPr>
          <w:p>
            <w:pPr>
              <w:spacing w:after="0"/>
              <w:rPr>
                <w:sz w:val="1"/>
                <w:szCs w:val="1"/>
                <w:color w:val="auto"/>
              </w:rPr>
            </w:pPr>
          </w:p>
        </w:tc>
      </w:tr>
      <w:tr>
        <w:trPr>
          <w:trHeight w:val="206"/>
        </w:trPr>
        <w:tc>
          <w:tcPr>
            <w:tcW w:w="4360" w:type="dxa"/>
            <w:vAlign w:val="bottom"/>
            <w:gridSpan w:val="2"/>
          </w:tcPr>
          <w:p>
            <w:pPr>
              <w:ind w:left="120"/>
              <w:spacing w:after="0"/>
              <w:rPr>
                <w:sz w:val="20"/>
                <w:szCs w:val="20"/>
                <w:color w:val="auto"/>
              </w:rPr>
            </w:pPr>
            <w:r>
              <w:rPr>
                <w:rFonts w:ascii="Arial" w:cs="Arial" w:eastAsia="Arial" w:hAnsi="Arial"/>
                <w:sz w:val="15"/>
                <w:szCs w:val="15"/>
                <w:color w:val="auto"/>
              </w:rPr>
              <w:t>Other wages</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78,703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74,621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230,987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230,687</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Benefits and other compensation</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118,151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111,575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194,802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188,731</w:t>
            </w:r>
          </w:p>
        </w:tc>
        <w:tc>
          <w:tcPr>
            <w:tcW w:w="0" w:type="dxa"/>
            <w:vAlign w:val="bottom"/>
          </w:tcPr>
          <w:p>
            <w:pPr>
              <w:spacing w:after="0"/>
              <w:rPr>
                <w:sz w:val="1"/>
                <w:szCs w:val="1"/>
                <w:color w:val="auto"/>
              </w:rPr>
            </w:pPr>
          </w:p>
        </w:tc>
      </w:tr>
      <w:tr>
        <w:trPr>
          <w:trHeight w:val="199"/>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774,367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719,112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1,167,194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1,101,993</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Occupancy</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127,312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119,709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339,700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326,026</w:t>
            </w:r>
          </w:p>
        </w:tc>
        <w:tc>
          <w:tcPr>
            <w:tcW w:w="0" w:type="dxa"/>
            <w:vAlign w:val="bottom"/>
          </w:tcPr>
          <w:p>
            <w:pPr>
              <w:spacing w:after="0"/>
              <w:rPr>
                <w:sz w:val="1"/>
                <w:szCs w:val="1"/>
                <w:color w:val="auto"/>
              </w:rPr>
            </w:pPr>
          </w:p>
        </w:tc>
      </w:tr>
      <w:tr>
        <w:trPr>
          <w:trHeight w:val="206"/>
        </w:trPr>
        <w:tc>
          <w:tcPr>
            <w:tcW w:w="4360" w:type="dxa"/>
            <w:vAlign w:val="bottom"/>
            <w:gridSpan w:val="2"/>
          </w:tcPr>
          <w:p>
            <w:pPr>
              <w:ind w:left="20"/>
              <w:spacing w:after="0"/>
              <w:rPr>
                <w:sz w:val="20"/>
                <w:szCs w:val="20"/>
                <w:color w:val="auto"/>
              </w:rPr>
            </w:pPr>
            <w:r>
              <w:rPr>
                <w:rFonts w:ascii="Arial" w:cs="Arial" w:eastAsia="Arial" w:hAnsi="Arial"/>
                <w:sz w:val="15"/>
                <w:szCs w:val="15"/>
                <w:color w:val="auto"/>
              </w:rPr>
              <w:t>Marketing and advertising</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185,388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196,667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208,725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221,502</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31,519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29,221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90,442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87,247</w:t>
            </w:r>
          </w:p>
        </w:tc>
        <w:tc>
          <w:tcPr>
            <w:tcW w:w="0" w:type="dxa"/>
            <w:vAlign w:val="bottom"/>
          </w:tcPr>
          <w:p>
            <w:pPr>
              <w:spacing w:after="0"/>
              <w:rPr>
                <w:sz w:val="1"/>
                <w:szCs w:val="1"/>
                <w:color w:val="auto"/>
              </w:rPr>
            </w:pPr>
          </w:p>
        </w:tc>
      </w:tr>
      <w:tr>
        <w:trPr>
          <w:trHeight w:val="206"/>
        </w:trPr>
        <w:tc>
          <w:tcPr>
            <w:tcW w:w="4360" w:type="dxa"/>
            <w:vAlign w:val="bottom"/>
            <w:gridSpan w:val="2"/>
          </w:tcPr>
          <w:p>
            <w:pPr>
              <w:ind w:left="20"/>
              <w:spacing w:after="0"/>
              <w:rPr>
                <w:sz w:val="20"/>
                <w:szCs w:val="20"/>
                <w:color w:val="auto"/>
              </w:rPr>
            </w:pPr>
            <w:r>
              <w:rPr>
                <w:rFonts w:ascii="Arial" w:cs="Arial" w:eastAsia="Arial" w:hAnsi="Arial"/>
                <w:sz w:val="15"/>
                <w:szCs w:val="15"/>
                <w:color w:val="auto"/>
              </w:rPr>
              <w:t>Bad debt</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39,806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40,479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63,827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62,625</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202,891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193,603</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399,721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393,900</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1,361,283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1,298,791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2,269,609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2,193,293</w:t>
            </w:r>
          </w:p>
        </w:tc>
        <w:tc>
          <w:tcPr>
            <w:tcW w:w="0" w:type="dxa"/>
            <w:vAlign w:val="bottom"/>
          </w:tcPr>
          <w:p>
            <w:pPr>
              <w:spacing w:after="0"/>
              <w:rPr>
                <w:sz w:val="1"/>
                <w:szCs w:val="1"/>
                <w:color w:val="auto"/>
              </w:rPr>
            </w:pPr>
          </w:p>
        </w:tc>
      </w:tr>
      <w:tr>
        <w:trPr>
          <w:trHeight w:val="19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3,941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4,554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15,077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19,215</w:t>
            </w: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Interest expense on borrowings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(24,307)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(24,686)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(65,087)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(62,285)</w:t>
            </w:r>
          </w:p>
        </w:tc>
        <w:tc>
          <w:tcPr>
            <w:tcW w:w="0" w:type="dxa"/>
            <w:vAlign w:val="bottom"/>
          </w:tcPr>
          <w:p>
            <w:pPr>
              <w:spacing w:after="0"/>
              <w:rPr>
                <w:sz w:val="1"/>
                <w:szCs w:val="1"/>
                <w:color w:val="auto"/>
              </w:rPr>
            </w:pPr>
          </w:p>
        </w:tc>
      </w:tr>
      <w:tr>
        <w:trPr>
          <w:trHeight w:val="19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from continuing operations before income taxes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1,016,458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958,181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480,904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413,621</w:t>
            </w: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Income taxes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167,678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235,253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39,058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104,580</w:t>
            </w:r>
          </w:p>
        </w:tc>
        <w:tc>
          <w:tcPr>
            <w:tcW w:w="0" w:type="dxa"/>
            <w:vAlign w:val="bottom"/>
          </w:tcPr>
          <w:p>
            <w:pPr>
              <w:spacing w:after="0"/>
              <w:rPr>
                <w:sz w:val="1"/>
                <w:szCs w:val="1"/>
                <w:color w:val="auto"/>
              </w:rPr>
            </w:pPr>
          </w:p>
        </w:tc>
      </w:tr>
      <w:tr>
        <w:trPr>
          <w:trHeight w:val="19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Segment net income from continuing operations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848,780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722,928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441,846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309,041</w:t>
            </w:r>
          </w:p>
        </w:tc>
        <w:tc>
          <w:tcPr>
            <w:tcW w:w="0" w:type="dxa"/>
            <w:vAlign w:val="bottom"/>
          </w:tcPr>
          <w:p>
            <w:pPr>
              <w:spacing w:after="0"/>
              <w:rPr>
                <w:sz w:val="1"/>
                <w:szCs w:val="1"/>
                <w:color w:val="auto"/>
              </w:rPr>
            </w:pPr>
          </w:p>
        </w:tc>
      </w:tr>
      <w:tr>
        <w:trPr>
          <w:trHeight w:val="258"/>
        </w:trPr>
        <w:tc>
          <w:tcPr>
            <w:tcW w:w="4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segment profit:</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gridSpan w:val="2"/>
          </w:tcPr>
          <w:p>
            <w:pPr>
              <w:ind w:left="20"/>
              <w:spacing w:after="0"/>
              <w:rPr>
                <w:sz w:val="20"/>
                <w:szCs w:val="20"/>
                <w:color w:val="auto"/>
              </w:rPr>
            </w:pPr>
            <w:r>
              <w:rPr>
                <w:rFonts w:ascii="Arial" w:cs="Arial" w:eastAsia="Arial" w:hAnsi="Arial"/>
                <w:sz w:val="15"/>
                <w:szCs w:val="15"/>
                <w:color w:val="auto"/>
              </w:rPr>
              <w:t>Reconciling items: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loss from 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(879)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(1,930)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(2,707)</w:t>
            </w:r>
          </w:p>
        </w:tc>
        <w:tc>
          <w:tcPr>
            <w:tcW w:w="0" w:type="dxa"/>
            <w:vAlign w:val="bottom"/>
          </w:tcPr>
          <w:p>
            <w:pPr>
              <w:spacing w:after="0"/>
              <w:rPr>
                <w:sz w:val="1"/>
                <w:szCs w:val="1"/>
                <w:color w:val="auto"/>
              </w:rPr>
            </w:pPr>
          </w:p>
        </w:tc>
      </w:tr>
      <w:tr>
        <w:trPr>
          <w:trHeight w:val="199"/>
        </w:trPr>
        <w:tc>
          <w:tcPr>
            <w:tcW w:w="4360" w:type="dxa"/>
            <w:vAlign w:val="bottom"/>
            <w:gridSpan w:val="2"/>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847,901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722,330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439,916</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306,334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1506220</wp:posOffset>
            </wp:positionV>
            <wp:extent cx="220980" cy="122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080" w:hanging="1082"/>
        <w:spacing w:after="0" w:line="295" w:lineRule="auto"/>
        <w:tabs>
          <w:tab w:leader="none" w:pos="1060" w:val="left"/>
        </w:tabs>
        <w:rPr>
          <w:sz w:val="20"/>
          <w:szCs w:val="20"/>
          <w:color w:val="auto"/>
        </w:rPr>
      </w:pPr>
      <w:r>
        <w:rPr>
          <w:rFonts w:ascii="Arial" w:cs="Arial" w:eastAsia="Arial" w:hAnsi="Arial"/>
          <w:sz w:val="24"/>
          <w:szCs w:val="24"/>
          <w:b w:val="1"/>
          <w:bCs w:val="1"/>
          <w:color w:val="14AA40"/>
        </w:rPr>
        <w:t>ITEM 2.</w:t>
        <w:tab/>
        <w:t>MANAGEMENT'S DISCUSSION AND ANALYSIS OF FINANCIAL CONDITION AND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16" w:lineRule="exact"/>
        <w:rPr>
          <w:sz w:val="20"/>
          <w:szCs w:val="20"/>
          <w:color w:val="auto"/>
        </w:rPr>
      </w:pPr>
    </w:p>
    <w:p>
      <w:pPr>
        <w:jc w:val="both"/>
        <w:ind w:firstLine="232"/>
        <w:spacing w:after="0" w:line="251" w:lineRule="auto"/>
        <w:rPr>
          <w:sz w:val="20"/>
          <w:szCs w:val="20"/>
          <w:color w:val="auto"/>
        </w:rPr>
      </w:pPr>
      <w:r>
        <w:rPr>
          <w:rFonts w:ascii="Arial" w:cs="Arial" w:eastAsia="Arial" w:hAnsi="Arial"/>
          <w:sz w:val="17"/>
          <w:szCs w:val="17"/>
          <w:color w:val="auto"/>
        </w:rPr>
        <w:t>On July 11, 2025, we entered into a Fifth Amended and Restated Credit and Guarantee Agreement (2025 CLOC), which amended and restated our Fourth Amended and Restated Credit and Guarantee Agreement, extended the scheduled maturity date to July 11, 2030, maintained the aggregate principal amount of $1.5 billion, and revised the interest rate table. All other material terms remain substantially unchanged from the Fourth Amended and Restated Credit and Guarantee Agreement. See our Current Report on Form 8-K filed on July 15, 2025 for additional information.</w:t>
      </w:r>
    </w:p>
    <w:p>
      <w:pPr>
        <w:spacing w:after="0" w:line="265" w:lineRule="exact"/>
        <w:rPr>
          <w:sz w:val="20"/>
          <w:szCs w:val="20"/>
          <w:color w:val="auto"/>
        </w:rPr>
      </w:pPr>
    </w:p>
    <w:p>
      <w:pPr>
        <w:jc w:val="both"/>
        <w:ind w:firstLine="155"/>
        <w:spacing w:after="0" w:line="254" w:lineRule="auto"/>
        <w:rPr>
          <w:sz w:val="20"/>
          <w:szCs w:val="20"/>
          <w:color w:val="auto"/>
        </w:rPr>
      </w:pPr>
      <w:r>
        <w:rPr>
          <w:rFonts w:ascii="Arial" w:cs="Arial" w:eastAsia="Arial" w:hAnsi="Arial"/>
          <w:sz w:val="17"/>
          <w:szCs w:val="17"/>
          <w:color w:val="auto"/>
        </w:rPr>
        <w:t>On August 7, 2025, Jeffrey J. Jones II notified the Board of Directors of the Company of his intention to retire as President and Chief Executive Officer of the Company, effective as of December 31, 2025. Mr. Jones retired from the Board of Directors, effective on December 31, 2025. On August 8, 2025, the Board appointed Curtis A. Campbell, the Company's President, Global Consumer Tax and Chief Product Officer, to succeed Mr. Jones as President and Chief Executive Officer, effective immediately upon Mr. Jones’ retirement. See our Current Report on Form 8-K filed on August 11, 2025 for more information.</w:t>
      </w:r>
    </w:p>
    <w:p>
      <w:pPr>
        <w:spacing w:after="0" w:line="61"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On August 13, 2025, Kellie J. Logerwell notified the Company of her intention to retire as the Company’s Vice President and Chief Accounting Officer, effective as of October 24, 2025. Ms. Logerwell was succeeded as principal accounting officer by April M. Wasleski, who most-recently served as the Company’s Director of Accounting and whose appointment as Vice President and Chief Accounting Officer became effective October 24, 2025. See our Current Report on Form 8-K filed on August 15, 2025 for more information.</w:t>
      </w:r>
    </w:p>
    <w:p>
      <w:pPr>
        <w:spacing w:after="0" w:line="65"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On August 26, 2025, we issued $350.0 million of 5.375% Senior Notes due September 15, 2032 (2032 Senior Notes). The 2032 Senior Notes are not redeemable by the bondholders prior to maturity, although we have the right to redeem some or all of these notes at any time, at specified redemption prices. The net proceeds from the 2032 Senior Notes were used for general corporate purposes, which includes, among other uses, the redemption of the $350.0 million in principal outstanding of our 5.250% notes due October 2025 (2025 Senior Notes). We redeemed our 2025 Senior Notes at 100% of the principal amount, plus accrued and unpaid interest, on September 19,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subsidiaries provide assisted and do-it-yourself (DIY) tax preparation solutions through multiple channels (including in-person, online and mobile applications, virtual, and desktop software) and distribute H&amp;R Block-branded products and services, including those of our bank partners, to the general public primarily in the United States (U.S.), Canada and Australia. Tax returns are either prepared by H&amp;R Block tax professionals in one of our 6,802 company-owned or 1,814 franchise offices (as of March 31, 2026), virtually or via an online review or prepared and filed by our clients through our DIY tax solutions. We also offer small business solutions through our company-owned and franchise offices (including in-person, online and virtual) and online through Wave. We report a single segment that includes all of our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595630</wp:posOffset>
            </wp:positionV>
            <wp:extent cx="212725" cy="122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0" w:hanging="266"/>
        <w:spacing w:after="0"/>
        <w:tabs>
          <w:tab w:leader="none" w:pos="36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Consolidated – Financial Results</w:t>
            </w: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19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March 31,</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8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8"/>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7"/>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tax preparation and related services: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6"/>
        </w:trPr>
        <w:tc>
          <w:tcPr>
            <w:tcW w:w="4780" w:type="dxa"/>
            <w:vAlign w:val="bottom"/>
            <w:gridSpan w:val="2"/>
          </w:tcPr>
          <w:p>
            <w:pPr>
              <w:ind w:left="240"/>
              <w:spacing w:after="0"/>
              <w:rPr>
                <w:sz w:val="20"/>
                <w:szCs w:val="20"/>
                <w:color w:val="auto"/>
              </w:rPr>
            </w:pPr>
            <w:r>
              <w:rPr>
                <w:rFonts w:ascii="Arial" w:cs="Arial" w:eastAsia="Arial" w:hAnsi="Arial"/>
                <w:sz w:val="15"/>
                <w:szCs w:val="15"/>
                <w:color w:val="auto"/>
              </w:rPr>
              <w:t>Assisted tax preparation</w:t>
            </w:r>
          </w:p>
        </w:tc>
        <w:tc>
          <w:tcPr>
            <w:tcW w:w="420" w:type="dxa"/>
            <w:vAlign w:val="bottom"/>
          </w:tcPr>
          <w:p>
            <w:pPr>
              <w:jc w:val="right"/>
              <w:ind w:right="24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1,742,135</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1,635,877</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106,258</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6.5 %</w:t>
            </w:r>
          </w:p>
        </w:tc>
      </w:tr>
      <w:tr>
        <w:trPr>
          <w:trHeight w:val="206"/>
        </w:trPr>
        <w:tc>
          <w:tcPr>
            <w:tcW w:w="47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Royalties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128,182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133,961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206"/>
        </w:trPr>
        <w:tc>
          <w:tcPr>
            <w:tcW w:w="4780" w:type="dxa"/>
            <w:vAlign w:val="bottom"/>
            <w:gridSpan w:val="2"/>
          </w:tcPr>
          <w:p>
            <w:pPr>
              <w:ind w:left="220"/>
              <w:spacing w:after="0"/>
              <w:rPr>
                <w:sz w:val="20"/>
                <w:szCs w:val="20"/>
                <w:color w:val="auto"/>
              </w:rPr>
            </w:pPr>
            <w:r>
              <w:rPr>
                <w:rFonts w:ascii="Arial" w:cs="Arial" w:eastAsia="Arial" w:hAnsi="Arial"/>
                <w:sz w:val="15"/>
                <w:szCs w:val="15"/>
                <w:color w:val="auto"/>
              </w:rPr>
              <w:t>DIY tax preparation</w:t>
            </w:r>
          </w:p>
        </w:tc>
        <w:tc>
          <w:tcPr>
            <w:tcW w:w="4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215,245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214,666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579</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0.3 %</w:t>
            </w:r>
          </w:p>
        </w:tc>
      </w:tr>
      <w:tr>
        <w:trPr>
          <w:trHeight w:val="206"/>
        </w:trPr>
        <w:tc>
          <w:tcPr>
            <w:tcW w:w="47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Refund Transfers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119,935</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113,732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6,203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5.5 %</w:t>
            </w:r>
          </w:p>
        </w:tc>
      </w:tr>
      <w:tr>
        <w:trPr>
          <w:trHeight w:val="206"/>
        </w:trPr>
        <w:tc>
          <w:tcPr>
            <w:tcW w:w="4780" w:type="dxa"/>
            <w:vAlign w:val="bottom"/>
            <w:gridSpan w:val="2"/>
          </w:tcPr>
          <w:p>
            <w:pPr>
              <w:ind w:left="220"/>
              <w:spacing w:after="0"/>
              <w:rPr>
                <w:sz w:val="20"/>
                <w:szCs w:val="20"/>
                <w:color w:val="auto"/>
              </w:rPr>
            </w:pPr>
            <w:r>
              <w:rPr>
                <w:rFonts w:ascii="Arial" w:cs="Arial" w:eastAsia="Arial" w:hAnsi="Arial"/>
                <w:sz w:val="15"/>
                <w:szCs w:val="15"/>
                <w:color w:val="auto"/>
              </w:rPr>
              <w:t>Peace of Mind® Extended Service Plan</w:t>
            </w:r>
          </w:p>
        </w:tc>
        <w:tc>
          <w:tcPr>
            <w:tcW w:w="4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14,347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15,625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(1,278)</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(8.2)%</w:t>
            </w:r>
          </w:p>
        </w:tc>
      </w:tr>
      <w:tr>
        <w:trPr>
          <w:trHeight w:val="206"/>
        </w:trPr>
        <w:tc>
          <w:tcPr>
            <w:tcW w:w="47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Tax Identity Shield®</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8,485</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1,460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20.8 %</w:t>
            </w:r>
          </w:p>
        </w:tc>
      </w:tr>
      <w:tr>
        <w:trPr>
          <w:trHeight w:val="206"/>
        </w:trPr>
        <w:tc>
          <w:tcPr>
            <w:tcW w:w="4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15,000</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14,582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418</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2.9 %</w:t>
            </w:r>
          </w:p>
        </w:tc>
      </w:tr>
      <w:tr>
        <w:trPr>
          <w:trHeight w:val="199"/>
        </w:trPr>
        <w:tc>
          <w:tcPr>
            <w:tcW w:w="47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U.S. tax preparation and related services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2,243,329</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2,135,468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107,861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5.1 %</w:t>
            </w:r>
          </w:p>
        </w:tc>
      </w:tr>
      <w:tr>
        <w:trPr>
          <w:trHeight w:val="205"/>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Financial services: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7"/>
        </w:trPr>
        <w:tc>
          <w:tcPr>
            <w:tcW w:w="4780" w:type="dxa"/>
            <w:vAlign w:val="bottom"/>
            <w:gridSpan w:val="2"/>
            <w:shd w:val="clear" w:color="auto" w:fill="CCEEFF"/>
          </w:tcPr>
          <w:p>
            <w:pPr>
              <w:ind w:left="240"/>
              <w:spacing w:after="0" w:line="207"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39,590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40,195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206"/>
        </w:trPr>
        <w:tc>
          <w:tcPr>
            <w:tcW w:w="4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Interest and fee income on Emerald Advance®</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15,198</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14,286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912</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6.4 %</w:t>
            </w:r>
          </w:p>
        </w:tc>
      </w:tr>
      <w:tr>
        <w:trPr>
          <w:trHeight w:val="199"/>
        </w:trPr>
        <w:tc>
          <w:tcPr>
            <w:tcW w:w="4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financial services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54,788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54,481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0.6 %</w:t>
            </w:r>
          </w:p>
        </w:tc>
      </w:tr>
      <w:tr>
        <w:trPr>
          <w:trHeight w:val="20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International</w:t>
            </w:r>
          </w:p>
        </w:tc>
        <w:tc>
          <w:tcPr>
            <w:tcW w:w="4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70,119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60,438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9,681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16.0 %</w:t>
            </w:r>
          </w:p>
        </w:tc>
      </w:tr>
      <w:tr>
        <w:trPr>
          <w:trHeight w:val="20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Wave</w:t>
            </w: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29,871</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26,717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3,154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11.8 %</w:t>
            </w:r>
          </w:p>
        </w:tc>
      </w:tr>
      <w:tr>
        <w:trPr>
          <w:trHeight w:val="199"/>
        </w:trPr>
        <w:tc>
          <w:tcPr>
            <w:tcW w:w="478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2,398,107</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2,277,104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121,003</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5.3 %</w:t>
            </w:r>
          </w:p>
        </w:tc>
      </w:tr>
      <w:tr>
        <w:trPr>
          <w:trHeight w:val="18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Compensation and benefits:</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Field wages</w:t>
            </w:r>
          </w:p>
        </w:tc>
        <w:tc>
          <w:tcPr>
            <w:tcW w:w="4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577,513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532,916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(44,597)</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(8.4)%</w:t>
            </w:r>
          </w:p>
        </w:tc>
      </w:tr>
      <w:tr>
        <w:trPr>
          <w:trHeight w:val="20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wages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78,703</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74,621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r>
      <w:tr>
        <w:trPr>
          <w:trHeight w:val="206"/>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Benefits and other compensation</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118,151</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111,575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(6,576)</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(5.9)%</w:t>
            </w:r>
          </w:p>
        </w:tc>
      </w:tr>
      <w:tr>
        <w:trPr>
          <w:trHeight w:val="199"/>
        </w:trPr>
        <w:tc>
          <w:tcPr>
            <w:tcW w:w="4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774,367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719,112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(55,255)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w:t>
            </w:r>
          </w:p>
        </w:tc>
      </w:tr>
      <w:tr>
        <w:trPr>
          <w:trHeight w:val="206"/>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Occupancy</w:t>
            </w:r>
          </w:p>
        </w:tc>
        <w:tc>
          <w:tcPr>
            <w:tcW w:w="4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127,312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119,709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(7,603)</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(6.4)%</w:t>
            </w:r>
          </w:p>
        </w:tc>
      </w:tr>
      <w:tr>
        <w:trPr>
          <w:trHeight w:val="20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Marketing and advertising</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185,388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196,667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11,279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5.7 %</w:t>
            </w:r>
          </w:p>
        </w:tc>
      </w:tr>
      <w:tr>
        <w:trPr>
          <w:trHeight w:val="206"/>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4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31,519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29,221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(2,298)</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(7.9)%</w:t>
            </w:r>
          </w:p>
        </w:tc>
      </w:tr>
      <w:tr>
        <w:trPr>
          <w:trHeight w:val="20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Bad debt</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39,806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40,479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673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1.7 %</w:t>
            </w:r>
          </w:p>
        </w:tc>
      </w:tr>
      <w:tr>
        <w:trPr>
          <w:trHeight w:val="206"/>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202,891</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193,603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(9,288)</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(4.8)%</w:t>
            </w:r>
          </w:p>
        </w:tc>
      </w:tr>
      <w:tr>
        <w:trPr>
          <w:trHeight w:val="199"/>
        </w:trPr>
        <w:tc>
          <w:tcPr>
            <w:tcW w:w="4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1,361,283</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1,298,791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(62,492)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w:t>
            </w:r>
          </w:p>
        </w:tc>
      </w:tr>
      <w:tr>
        <w:trPr>
          <w:trHeight w:val="199"/>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4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3,941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4,554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(613)</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(13.5)%</w:t>
            </w:r>
          </w:p>
        </w:tc>
      </w:tr>
      <w:tr>
        <w:trPr>
          <w:trHeight w:val="20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on borrowings</w:t>
            </w: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(24,307)</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(24,686)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379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1.5 %</w:t>
            </w:r>
          </w:p>
        </w:tc>
      </w:tr>
      <w:tr>
        <w:trPr>
          <w:trHeight w:val="199"/>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Pretax income</w:t>
            </w:r>
          </w:p>
        </w:tc>
        <w:tc>
          <w:tcPr>
            <w:tcW w:w="4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1,016,458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958,181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58,277</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6.1 %</w:t>
            </w:r>
          </w:p>
        </w:tc>
      </w:tr>
      <w:tr>
        <w:trPr>
          <w:trHeight w:val="20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taxes</w:t>
            </w: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167,678</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235,253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67,575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28.7 %</w:t>
            </w:r>
          </w:p>
        </w:tc>
      </w:tr>
      <w:tr>
        <w:trPr>
          <w:trHeight w:val="199"/>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Net income from continuing operations</w:t>
            </w:r>
          </w:p>
        </w:tc>
        <w:tc>
          <w:tcPr>
            <w:tcW w:w="4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848,780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722,928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125,852</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17.4 %</w:t>
            </w:r>
          </w:p>
        </w:tc>
      </w:tr>
      <w:tr>
        <w:trPr>
          <w:trHeight w:val="20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 from discontinued operations</w:t>
            </w: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(879)</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(47.0)%</w:t>
            </w:r>
          </w:p>
        </w:tc>
      </w:tr>
      <w:tr>
        <w:trPr>
          <w:trHeight w:val="199"/>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income</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847,901</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722,330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125,571</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17.4 %</w:t>
            </w:r>
          </w:p>
        </w:tc>
      </w:tr>
      <w:tr>
        <w:trPr>
          <w:trHeight w:val="18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DILUTED EARNINGS PER SHARE</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Continuing operations</w:t>
            </w:r>
          </w:p>
        </w:tc>
        <w:tc>
          <w:tcPr>
            <w:tcW w:w="420" w:type="dxa"/>
            <w:vAlign w:val="bottom"/>
          </w:tcPr>
          <w:p>
            <w:pPr>
              <w:jc w:val="right"/>
              <w:ind w:right="24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6.61</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5.32</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1.29</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24.2 %</w:t>
            </w:r>
          </w:p>
        </w:tc>
      </w:tr>
      <w:tr>
        <w:trPr>
          <w:trHeight w:val="20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Discontinued operations</w:t>
            </w: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(0.01)</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9"/>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Consolidated</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6.60</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1.29</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24.3 %</w:t>
            </w:r>
          </w:p>
        </w:tc>
      </w:tr>
      <w:tr>
        <w:trPr>
          <w:trHeight w:val="199"/>
        </w:trPr>
        <w:tc>
          <w:tcPr>
            <w:tcW w:w="478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5"/>
                <w:szCs w:val="15"/>
                <w:color w:val="auto"/>
              </w:rPr>
              <w:t>Adjusted diluted EPS</w:t>
            </w:r>
            <w:r>
              <w:rPr>
                <w:rFonts w:ascii="Arial" w:cs="Arial" w:eastAsia="Arial" w:hAnsi="Arial"/>
                <w:sz w:val="20"/>
                <w:szCs w:val="20"/>
                <w:color w:val="auto"/>
                <w:vertAlign w:val="superscript"/>
              </w:rPr>
              <w:t>(1)</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b w:val="1"/>
                <w:bCs w:val="1"/>
                <w:color w:val="auto"/>
                <w:w w:val="95"/>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6.02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0.64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11.9 %</w:t>
            </w:r>
          </w:p>
        </w:tc>
      </w:tr>
      <w:tr>
        <w:trPr>
          <w:trHeight w:val="238"/>
        </w:trPr>
        <w:tc>
          <w:tcPr>
            <w:tcW w:w="4780" w:type="dxa"/>
            <w:vAlign w:val="bottom"/>
            <w:tcBorders>
              <w:bottom w:val="single" w:sz="8" w:color="CCEEFF"/>
            </w:tcBorders>
            <w:gridSpan w:val="2"/>
          </w:tcPr>
          <w:p>
            <w:pPr>
              <w:ind w:left="20"/>
              <w:spacing w:after="0" w:line="207" w:lineRule="exact"/>
              <w:rPr>
                <w:sz w:val="20"/>
                <w:szCs w:val="20"/>
                <w:color w:val="auto"/>
              </w:rPr>
            </w:pPr>
            <w:r>
              <w:rPr>
                <w:rFonts w:ascii="Arial" w:cs="Arial" w:eastAsia="Arial" w:hAnsi="Arial"/>
                <w:sz w:val="15"/>
                <w:szCs w:val="15"/>
                <w:color w:val="auto"/>
              </w:rPr>
              <w:t xml:space="preserve">EBITDA </w:t>
            </w:r>
            <w:r>
              <w:rPr>
                <w:rFonts w:ascii="Arial" w:cs="Arial" w:eastAsia="Arial" w:hAnsi="Arial"/>
                <w:sz w:val="20"/>
                <w:szCs w:val="20"/>
                <w:color w:val="auto"/>
                <w:vertAlign w:val="superscript"/>
              </w:rPr>
              <w:t>(1)</w:t>
            </w:r>
          </w:p>
        </w:tc>
        <w:tc>
          <w:tcPr>
            <w:tcW w:w="420" w:type="dxa"/>
            <w:vAlign w:val="bottom"/>
            <w:tcBorders>
              <w:bottom w:val="single" w:sz="8" w:color="CCEEFF"/>
            </w:tcBorders>
          </w:tcPr>
          <w:p>
            <w:pPr>
              <w:jc w:val="right"/>
              <w:ind w:right="24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b w:val="1"/>
                <w:bCs w:val="1"/>
                <w:color w:val="auto"/>
              </w:rPr>
              <w:t>1,072,284</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jc w:val="right"/>
              <w:ind w:right="2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1,012,088</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60,196</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5.9 %</w:t>
            </w:r>
          </w:p>
        </w:tc>
      </w:tr>
      <w:tr>
        <w:trPr>
          <w:trHeight w:val="20"/>
        </w:trPr>
        <w:tc>
          <w:tcPr>
            <w:tcW w:w="4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56" w:lineRule="exact"/>
        <w:rPr>
          <w:sz w:val="20"/>
          <w:szCs w:val="20"/>
          <w:color w:val="auto"/>
        </w:rPr>
      </w:pPr>
    </w:p>
    <w:p>
      <w:pPr>
        <w:ind w:left="260" w:hanging="257"/>
        <w:spacing w:after="0"/>
        <w:tabs>
          <w:tab w:leader="none" w:pos="2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All non-GAAP measures are results from continuing operations. See "</w:t>
      </w:r>
      <w:r>
        <w:rPr>
          <w:rFonts w:ascii="Arial" w:cs="Arial" w:eastAsia="Arial" w:hAnsi="Arial"/>
          <w:sz w:val="14"/>
          <w:szCs w:val="14"/>
          <w:u w:val="single" w:color="auto"/>
          <w:color w:val="0000FF"/>
        </w:rPr>
        <w:t>Non-GAAP Financial Information</w:t>
      </w:r>
      <w:r>
        <w:rPr>
          <w:rFonts w:ascii="Arial" w:cs="Arial" w:eastAsia="Arial" w:hAnsi="Arial"/>
          <w:sz w:val="14"/>
          <w:szCs w:val="14"/>
          <w:color w:val="auto"/>
        </w:rPr>
        <w:t>" at the end of this item for a reconciliation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602615</wp:posOffset>
            </wp:positionV>
            <wp:extent cx="220980" cy="122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2026 compared to March 31, 2025</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Revenues increased $121.0 million, or 5.3%, from the prior year. U.S. assisted tax preparation revenues increased $106.3 million, or 6.5%, primarily due to a 3.8% increase in net average charge combined with a 2.6% increase in company-owned tax return volumes in the current year. U.S. royalties revenue decreased $ 5.8 million, or 4.3%, due to lower franchise tax return volumes, which was primarily driven by franchise acquisitions. During the year we purchased franchise offices which results in increasing tax preparation revenues and decreasing royalties as the revenues and returns become company-owned after the acquisition. For the three months ended March 31, 2026 our total assisted tax return volume, which includes both company-owned and franchise offices, increased 0.4% from the prior year.</w:t>
      </w:r>
    </w:p>
    <w:p>
      <w:pPr>
        <w:spacing w:after="0" w:line="70"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U.S. DIY tax preparation revenues increased $0.6 million, or 0.3%, largely due to a 3.5% increase in online paid net average charge, offset by a 3.0% decrease in online paid volume.</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Refund Transfer revenues increased $6.2 million, or 5.5%, primarily due to an increase in Refund Transfer volume.</w:t>
      </w:r>
    </w:p>
    <w:p>
      <w:pPr>
        <w:spacing w:after="0" w:line="11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International tax preparation revenues increased $9.7 million, or 16.0%, primarily due to favorable foreign currency exchange rates in Canada and Australia.</w:t>
      </w:r>
    </w:p>
    <w:p>
      <w:pPr>
        <w:spacing w:after="0" w:line="43" w:lineRule="exact"/>
        <w:rPr>
          <w:sz w:val="20"/>
          <w:szCs w:val="20"/>
          <w:color w:val="auto"/>
        </w:rPr>
      </w:pPr>
    </w:p>
    <w:p>
      <w:pPr>
        <w:jc w:val="both"/>
        <w:ind w:firstLine="232"/>
        <w:spacing w:after="0" w:line="209" w:lineRule="exact"/>
        <w:rPr>
          <w:sz w:val="20"/>
          <w:szCs w:val="20"/>
          <w:color w:val="auto"/>
        </w:rPr>
      </w:pPr>
      <w:r>
        <w:rPr>
          <w:rFonts w:ascii="Arial" w:cs="Arial" w:eastAsia="Arial" w:hAnsi="Arial"/>
          <w:sz w:val="17"/>
          <w:szCs w:val="17"/>
          <w:color w:val="auto"/>
        </w:rPr>
        <w:t>Total operating expenses increased $62.5 million, or 4.8%, from the prior year. Field wages increased $44.6 million, or 8.4%, due to increased tax professional wages resulting from an increase in U.S. assisted tax preparation revenues. Certain wage</w:t>
      </w:r>
      <w:r>
        <w:rPr>
          <w:rFonts w:ascii="MS PGothic" w:cs="MS PGothic" w:eastAsia="MS PGothic" w:hAnsi="MS PGothic"/>
          <w:sz w:val="17"/>
          <w:szCs w:val="17"/>
          <w:color w:val="auto"/>
        </w:rPr>
        <w:t>‑</w:t>
      </w:r>
      <w:r>
        <w:rPr>
          <w:rFonts w:ascii="Arial" w:cs="Arial" w:eastAsia="Arial" w:hAnsi="Arial"/>
          <w:sz w:val="17"/>
          <w:szCs w:val="17"/>
          <w:color w:val="auto"/>
        </w:rPr>
        <w:t>related expenses are now being reported in field wages rather than other wages to better align with how costs are managed and evaluated internally. This change had no impact on total operating expenses, and prior period amounts have not been reclassified. Benefits and other compensation increased $6.6 million or 5.9% due primarily to higher payroll taxes, stock-based compensation and severance pay in the current year. Occupancy expense increased $ 7.6 million, or 6.4%, primarily due to higher lease expenses and facility repairs. Marketing and advertising expenses decreased $11.3 million, or 5.7%, due to lower online and TV advertising as well as lower customer incentive expenses.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 operating expenses increased $9.3 million, or 4.8%. The components of other expenses are as follows: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March 31,</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9"/>
        </w:trPr>
        <w:tc>
          <w:tcPr>
            <w:tcW w:w="5560" w:type="dxa"/>
            <w:vAlign w:val="bottom"/>
            <w:gridSpan w:val="2"/>
          </w:tcPr>
          <w:p>
            <w:pPr>
              <w:ind w:left="20"/>
              <w:spacing w:after="0"/>
              <w:rPr>
                <w:sz w:val="20"/>
                <w:szCs w:val="20"/>
                <w:color w:val="auto"/>
              </w:rPr>
            </w:pPr>
            <w:r>
              <w:rPr>
                <w:rFonts w:ascii="Arial" w:cs="Arial" w:eastAsia="Arial" w:hAnsi="Arial"/>
                <w:sz w:val="15"/>
                <w:szCs w:val="15"/>
                <w:color w:val="auto"/>
              </w:rPr>
              <w:t>Consulting and outsourced services</w:t>
            </w:r>
          </w:p>
        </w:tc>
        <w:tc>
          <w:tcPr>
            <w:tcW w:w="400" w:type="dxa"/>
            <w:vAlign w:val="bottom"/>
          </w:tcPr>
          <w:p>
            <w:pPr>
              <w:jc w:val="right"/>
              <w:ind w:right="223"/>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39,046</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38,887</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(159)</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(0.4)%</w:t>
            </w:r>
          </w:p>
        </w:tc>
      </w:tr>
      <w:tr>
        <w:trPr>
          <w:trHeight w:val="20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Bank partner fees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34,030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30,836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(10.4)%</w:t>
            </w:r>
          </w:p>
        </w:tc>
      </w:tr>
      <w:tr>
        <w:trPr>
          <w:trHeight w:val="206"/>
        </w:trPr>
        <w:tc>
          <w:tcPr>
            <w:tcW w:w="5560" w:type="dxa"/>
            <w:vAlign w:val="bottom"/>
            <w:gridSpan w:val="2"/>
          </w:tcPr>
          <w:p>
            <w:pPr>
              <w:ind w:left="20"/>
              <w:spacing w:after="0"/>
              <w:rPr>
                <w:sz w:val="20"/>
                <w:szCs w:val="20"/>
                <w:color w:val="auto"/>
              </w:rPr>
            </w:pPr>
            <w:r>
              <w:rPr>
                <w:rFonts w:ascii="Arial" w:cs="Arial" w:eastAsia="Arial" w:hAnsi="Arial"/>
                <w:sz w:val="15"/>
                <w:szCs w:val="15"/>
                <w:color w:val="auto"/>
              </w:rPr>
              <w:t>Client claims and refunds</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8,655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8,420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(235)</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(2.8)%</w:t>
            </w:r>
          </w:p>
        </w:tc>
      </w:tr>
      <w:tr>
        <w:trPr>
          <w:trHeight w:val="20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Employee and travel expenses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7,993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559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6.5 %</w:t>
            </w:r>
          </w:p>
        </w:tc>
      </w:tr>
      <w:tr>
        <w:trPr>
          <w:trHeight w:val="206"/>
        </w:trPr>
        <w:tc>
          <w:tcPr>
            <w:tcW w:w="5560" w:type="dxa"/>
            <w:vAlign w:val="bottom"/>
            <w:gridSpan w:val="2"/>
          </w:tcPr>
          <w:p>
            <w:pPr>
              <w:ind w:left="20"/>
              <w:spacing w:after="0"/>
              <w:rPr>
                <w:sz w:val="20"/>
                <w:szCs w:val="20"/>
                <w:color w:val="auto"/>
              </w:rPr>
            </w:pPr>
            <w:r>
              <w:rPr>
                <w:rFonts w:ascii="Arial" w:cs="Arial" w:eastAsia="Arial" w:hAnsi="Arial"/>
                <w:sz w:val="15"/>
                <w:szCs w:val="15"/>
                <w:color w:val="auto"/>
              </w:rPr>
              <w:t>Technology-related expenses</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37,076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34,472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(2,604)</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(7.6)%</w:t>
            </w:r>
          </w:p>
        </w:tc>
      </w:tr>
      <w:tr>
        <w:trPr>
          <w:trHeight w:val="20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Credit card/bank charges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41,856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w:t>
            </w:r>
          </w:p>
        </w:tc>
      </w:tr>
      <w:tr>
        <w:trPr>
          <w:trHeight w:val="206"/>
        </w:trPr>
        <w:tc>
          <w:tcPr>
            <w:tcW w:w="5560" w:type="dxa"/>
            <w:vAlign w:val="bottom"/>
            <w:gridSpan w:val="2"/>
          </w:tcPr>
          <w:p>
            <w:pPr>
              <w:ind w:left="20"/>
              <w:spacing w:after="0"/>
              <w:rPr>
                <w:sz w:val="20"/>
                <w:szCs w:val="20"/>
                <w:color w:val="auto"/>
              </w:rPr>
            </w:pPr>
            <w:r>
              <w:rPr>
                <w:rFonts w:ascii="Arial" w:cs="Arial" w:eastAsia="Arial" w:hAnsi="Arial"/>
                <w:sz w:val="15"/>
                <w:szCs w:val="15"/>
                <w:color w:val="auto"/>
              </w:rPr>
              <w:t>Insurance</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3,664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980</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21.1 %</w:t>
            </w:r>
          </w:p>
        </w:tc>
      </w:tr>
      <w:tr>
        <w:trPr>
          <w:trHeight w:val="20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Legal fees and settlements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10,294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(28.9)%</w:t>
            </w:r>
          </w:p>
        </w:tc>
      </w:tr>
      <w:tr>
        <w:trPr>
          <w:trHeight w:val="206"/>
        </w:trPr>
        <w:tc>
          <w:tcPr>
            <w:tcW w:w="5560" w:type="dxa"/>
            <w:vAlign w:val="bottom"/>
            <w:gridSpan w:val="2"/>
          </w:tcPr>
          <w:p>
            <w:pPr>
              <w:ind w:left="20"/>
              <w:spacing w:after="0"/>
              <w:rPr>
                <w:sz w:val="20"/>
                <w:szCs w:val="20"/>
                <w:color w:val="auto"/>
              </w:rPr>
            </w:pPr>
            <w:r>
              <w:rPr>
                <w:rFonts w:ascii="Arial" w:cs="Arial" w:eastAsia="Arial" w:hAnsi="Arial"/>
                <w:sz w:val="15"/>
                <w:szCs w:val="15"/>
                <w:color w:val="auto"/>
              </w:rPr>
              <w:t>Supplies</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11,353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(946)</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(9.1)%</w:t>
            </w:r>
          </w:p>
        </w:tc>
      </w:tr>
      <w:tr>
        <w:trPr>
          <w:trHeight w:val="20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8,924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8.9 %</w:t>
            </w:r>
          </w:p>
        </w:tc>
      </w:tr>
      <w:tr>
        <w:trPr>
          <w:trHeight w:val="236"/>
        </w:trPr>
        <w:tc>
          <w:tcPr>
            <w:tcW w:w="5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202,891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193,603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(9,288)</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(4.8)%</w:t>
            </w:r>
          </w:p>
        </w:tc>
      </w:tr>
      <w:tr>
        <w:trPr>
          <w:trHeight w:val="20"/>
        </w:trPr>
        <w:tc>
          <w:tcPr>
            <w:tcW w:w="54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440" w:type="dxa"/>
            <w:vAlign w:val="bottom"/>
            <w:tcBorders>
              <w:top w:val="single" w:sz="8" w:color="CCEEFF"/>
            </w:tcBorders>
            <w:shd w:val="clear" w:color="auto" w:fill="000000"/>
          </w:tcPr>
          <w:p>
            <w:pPr>
              <w:spacing w:after="0" w:line="20" w:lineRule="exact"/>
              <w:rPr>
                <w:sz w:val="1"/>
                <w:szCs w:val="1"/>
                <w:color w:val="auto"/>
              </w:rPr>
            </w:pPr>
          </w:p>
        </w:tc>
      </w:tr>
    </w:tbl>
    <w:p>
      <w:pPr>
        <w:spacing w:after="0" w:line="177"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 xml:space="preserve">We recorded income tax expense of $167.7 million in the current year compared to $235.3 million in the prior year. The effective tax rate for the three months ended March 31, 2026, and 2025 was 16.5% and 24.6%, respectively. The decrease in the effective tax rate was primarily attributable to the settlement of an IRS examination of our 2020 U.S. federal income tax return and related carryback claims to the 2015 through 2018 tax years. The closure of the IRS examination resulted in a discrete income tax benefit of $84.1 million, which was recorded in income tax expense. See </w:t>
      </w:r>
      <w:r>
        <w:rPr>
          <w:rFonts w:ascii="Arial" w:cs="Arial" w:eastAsia="Arial" w:hAnsi="Arial"/>
          <w:sz w:val="17"/>
          <w:szCs w:val="17"/>
          <w:u w:val="single" w:color="auto"/>
          <w:color w:val="0000FF"/>
        </w:rPr>
        <w:t>Item 1, note 7</w:t>
      </w:r>
      <w:r>
        <w:rPr>
          <w:rFonts w:ascii="Arial" w:cs="Arial" w:eastAsia="Arial" w:hAnsi="Arial"/>
          <w:sz w:val="17"/>
          <w:szCs w:val="17"/>
          <w:color w:val="auto"/>
        </w:rPr>
        <w:t xml:space="preserve"> to the consolidated financial statements for additional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593725</wp:posOffset>
            </wp:positionV>
            <wp:extent cx="212725" cy="1225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0" w:hanging="266"/>
        <w:spacing w:after="0"/>
        <w:tabs>
          <w:tab w:leader="none" w:pos="360" w:val="left"/>
        </w:tabs>
        <w:numPr>
          <w:ilvl w:val="0"/>
          <w:numId w:val="15"/>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Consolidated - Financial Results</w:t>
            </w: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19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Nine months ended March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8"/>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7"/>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tax preparation and related services: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6"/>
        </w:trPr>
        <w:tc>
          <w:tcPr>
            <w:tcW w:w="5460" w:type="dxa"/>
            <w:vAlign w:val="bottom"/>
            <w:gridSpan w:val="2"/>
          </w:tcPr>
          <w:p>
            <w:pPr>
              <w:ind w:left="240"/>
              <w:spacing w:after="0"/>
              <w:rPr>
                <w:sz w:val="20"/>
                <w:szCs w:val="20"/>
                <w:color w:val="auto"/>
              </w:rPr>
            </w:pPr>
            <w:r>
              <w:rPr>
                <w:rFonts w:ascii="Arial" w:cs="Arial" w:eastAsia="Arial" w:hAnsi="Arial"/>
                <w:sz w:val="15"/>
                <w:szCs w:val="15"/>
                <w:color w:val="auto"/>
              </w:rPr>
              <w:t>Assisted tax preparation</w:t>
            </w:r>
          </w:p>
        </w:tc>
        <w:tc>
          <w:tcPr>
            <w:tcW w:w="34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1,846,698</w:t>
            </w:r>
          </w:p>
        </w:tc>
        <w:tc>
          <w:tcPr>
            <w:tcW w:w="12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1,727,220</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119,478</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6.9 %</w:t>
            </w:r>
          </w:p>
        </w:tc>
      </w:tr>
      <w:tr>
        <w:trPr>
          <w:trHeight w:val="206"/>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Royalties</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139,139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143,312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206"/>
        </w:trPr>
        <w:tc>
          <w:tcPr>
            <w:tcW w:w="5460" w:type="dxa"/>
            <w:vAlign w:val="bottom"/>
            <w:gridSpan w:val="2"/>
          </w:tcPr>
          <w:p>
            <w:pPr>
              <w:ind w:left="220"/>
              <w:spacing w:after="0"/>
              <w:rPr>
                <w:sz w:val="20"/>
                <w:szCs w:val="20"/>
                <w:color w:val="auto"/>
              </w:rPr>
            </w:pPr>
            <w:r>
              <w:rPr>
                <w:rFonts w:ascii="Arial" w:cs="Arial" w:eastAsia="Arial" w:hAnsi="Arial"/>
                <w:sz w:val="15"/>
                <w:szCs w:val="15"/>
                <w:color w:val="auto"/>
              </w:rPr>
              <w:t>DIY tax preparation</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235,797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231,646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4,151</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1.8 %</w:t>
            </w:r>
          </w:p>
        </w:tc>
      </w:tr>
      <w:tr>
        <w:trPr>
          <w:trHeight w:val="206"/>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Refund Transfers</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121,416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115,229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5.4 %</w:t>
            </w:r>
          </w:p>
        </w:tc>
      </w:tr>
      <w:tr>
        <w:trPr>
          <w:trHeight w:val="206"/>
        </w:trPr>
        <w:tc>
          <w:tcPr>
            <w:tcW w:w="5460" w:type="dxa"/>
            <w:vAlign w:val="bottom"/>
            <w:gridSpan w:val="2"/>
          </w:tcPr>
          <w:p>
            <w:pPr>
              <w:ind w:left="220"/>
              <w:spacing w:after="0"/>
              <w:rPr>
                <w:sz w:val="20"/>
                <w:szCs w:val="20"/>
                <w:color w:val="auto"/>
              </w:rPr>
            </w:pPr>
            <w:r>
              <w:rPr>
                <w:rFonts w:ascii="Arial" w:cs="Arial" w:eastAsia="Arial" w:hAnsi="Arial"/>
                <w:sz w:val="15"/>
                <w:szCs w:val="15"/>
                <w:color w:val="auto"/>
              </w:rPr>
              <w:t>Peace of Mind® Extended Service Plan</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54,087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54,867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(780)</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(1.4)%</w:t>
            </w:r>
          </w:p>
        </w:tc>
      </w:tr>
      <w:tr>
        <w:trPr>
          <w:trHeight w:val="206"/>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Tax Identity Shield®</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16,851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14,947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12.7 %</w:t>
            </w:r>
          </w:p>
        </w:tc>
      </w:tr>
      <w:tr>
        <w:trPr>
          <w:trHeight w:val="206"/>
        </w:trPr>
        <w:tc>
          <w:tcPr>
            <w:tcW w:w="5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41,321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40,215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1,106</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2.8 %</w:t>
            </w:r>
          </w:p>
        </w:tc>
      </w:tr>
      <w:tr>
        <w:trPr>
          <w:trHeight w:val="199"/>
        </w:trPr>
        <w:tc>
          <w:tcPr>
            <w:tcW w:w="54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U.S. tax preparation and related services</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2,455,309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2,327,436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127,873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5.5 %</w:t>
            </w: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Financial services: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7"/>
        </w:trPr>
        <w:tc>
          <w:tcPr>
            <w:tcW w:w="5460" w:type="dxa"/>
            <w:vAlign w:val="bottom"/>
            <w:gridSpan w:val="2"/>
            <w:shd w:val="clear" w:color="auto" w:fill="CCEEFF"/>
          </w:tcPr>
          <w:p>
            <w:pPr>
              <w:ind w:left="240"/>
              <w:spacing w:after="0" w:line="207"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56,566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59,169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206"/>
        </w:trPr>
        <w:tc>
          <w:tcPr>
            <w:tcW w:w="5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Interest and fee income on Emerald Advance®</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28,644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26,594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7.7 %</w:t>
            </w:r>
          </w:p>
        </w:tc>
      </w:tr>
      <w:tr>
        <w:trPr>
          <w:trHeight w:val="199"/>
        </w:trPr>
        <w:tc>
          <w:tcPr>
            <w:tcW w:w="54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financial services</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85,210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85,763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06"/>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International</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170,498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157,104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13,394</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8.5 %</w:t>
            </w:r>
          </w:p>
        </w:tc>
      </w:tr>
      <w:tr>
        <w:trPr>
          <w:trHeight w:val="206"/>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Wave</w:t>
            </w: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89,506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79,681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12.3 %</w:t>
            </w:r>
          </w:p>
        </w:tc>
      </w:tr>
      <w:tr>
        <w:trPr>
          <w:trHeight w:val="199"/>
        </w:trPr>
        <w:tc>
          <w:tcPr>
            <w:tcW w:w="546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Total revenues</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2,800,523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2,649,984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150,539</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5.7 %</w:t>
            </w:r>
          </w:p>
        </w:tc>
      </w:tr>
      <w:tr>
        <w:trPr>
          <w:trHeight w:val="18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Compensation and benefits: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6"/>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Field wages</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741,405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682,575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(58,830)</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(8.6)%</w:t>
            </w:r>
          </w:p>
        </w:tc>
      </w:tr>
      <w:tr>
        <w:trPr>
          <w:trHeight w:val="206"/>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wages</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230,987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230,687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06"/>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Benefits and other compensation</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194,802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188,731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(6,071)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(3.2)%</w:t>
            </w:r>
          </w:p>
        </w:tc>
      </w:tr>
      <w:tr>
        <w:trPr>
          <w:trHeight w:val="199"/>
        </w:trPr>
        <w:tc>
          <w:tcPr>
            <w:tcW w:w="5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1,167,194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1,101,993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(65,201)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w:t>
            </w:r>
          </w:p>
        </w:tc>
      </w:tr>
      <w:tr>
        <w:trPr>
          <w:trHeight w:val="206"/>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Occupancy</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339,700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326,026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(13,674)</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(4.2)%</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Marketing and advertising</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208,725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221,502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12,777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5.8 %</w:t>
            </w:r>
          </w:p>
        </w:tc>
      </w:tr>
      <w:tr>
        <w:trPr>
          <w:trHeight w:val="206"/>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90,442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87,247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(3,195)</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(3.7)%</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Bad debt</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63,827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62,625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206"/>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399,721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393,900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(5,821)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(1.5)%</w:t>
            </w:r>
          </w:p>
        </w:tc>
      </w:tr>
      <w:tr>
        <w:trPr>
          <w:trHeight w:val="199"/>
        </w:trPr>
        <w:tc>
          <w:tcPr>
            <w:tcW w:w="54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2,269,609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2,193,293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(76,316)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15,077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19,215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(4,138)</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(21.5)%</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on borrowings</w:t>
            </w: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(65,087)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(62,285)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Pretax income</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480,904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413,621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67,283</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16.3 %</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taxes</w:t>
            </w: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39,058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104,580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65,522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62.7 %</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Net income from continuing operations</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441,846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309,041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132,805</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43.0 %</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 from discontinued operations</w:t>
            </w: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(1,930)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28.7 %</w:t>
            </w:r>
          </w:p>
        </w:tc>
      </w:tr>
      <w:tr>
        <w:trPr>
          <w:trHeight w:val="199"/>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439,916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306,334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133,582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43.6 %</w:t>
            </w:r>
          </w:p>
        </w:tc>
      </w:tr>
      <w:tr>
        <w:trPr>
          <w:trHeight w:val="18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DILUTED EARNINGS PER SHARE</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6"/>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Continuing operations</w:t>
            </w:r>
          </w:p>
        </w:tc>
        <w:tc>
          <w:tcPr>
            <w:tcW w:w="34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3.40</w:t>
            </w:r>
          </w:p>
        </w:tc>
        <w:tc>
          <w:tcPr>
            <w:tcW w:w="12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1.17</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52.5 %</w:t>
            </w:r>
          </w:p>
        </w:tc>
      </w:tr>
      <w:tr>
        <w:trPr>
          <w:trHeight w:val="206"/>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Discontinued operations</w:t>
            </w: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9"/>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Consolidated</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52.9 %</w:t>
            </w:r>
          </w:p>
        </w:tc>
      </w:tr>
      <w:tr>
        <w:trPr>
          <w:trHeight w:val="199"/>
        </w:trPr>
        <w:tc>
          <w:tcPr>
            <w:tcW w:w="546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5"/>
                <w:szCs w:val="15"/>
                <w:color w:val="auto"/>
              </w:rPr>
              <w:t>Adjusted diluted EPS</w:t>
            </w:r>
            <w:r>
              <w:rPr>
                <w:rFonts w:ascii="Arial" w:cs="Arial" w:eastAsia="Arial" w:hAnsi="Arial"/>
                <w:sz w:val="20"/>
                <w:szCs w:val="20"/>
                <w:color w:val="auto"/>
                <w:vertAlign w:val="superscript"/>
              </w:rPr>
              <w:t>(1)</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22.4 %</w:t>
            </w:r>
          </w:p>
        </w:tc>
      </w:tr>
      <w:tr>
        <w:trPr>
          <w:trHeight w:val="238"/>
        </w:trPr>
        <w:tc>
          <w:tcPr>
            <w:tcW w:w="5460" w:type="dxa"/>
            <w:vAlign w:val="bottom"/>
            <w:tcBorders>
              <w:bottom w:val="single" w:sz="8" w:color="CCEEFF"/>
            </w:tcBorders>
            <w:gridSpan w:val="2"/>
          </w:tcPr>
          <w:p>
            <w:pPr>
              <w:ind w:left="20"/>
              <w:spacing w:after="0" w:line="207" w:lineRule="exact"/>
              <w:rPr>
                <w:sz w:val="20"/>
                <w:szCs w:val="20"/>
                <w:color w:val="auto"/>
              </w:rPr>
            </w:pPr>
            <w:r>
              <w:rPr>
                <w:rFonts w:ascii="Arial" w:cs="Arial" w:eastAsia="Arial" w:hAnsi="Arial"/>
                <w:sz w:val="15"/>
                <w:szCs w:val="15"/>
                <w:color w:val="auto"/>
              </w:rPr>
              <w:t xml:space="preserve">EBITDA </w:t>
            </w:r>
            <w:r>
              <w:rPr>
                <w:rFonts w:ascii="Arial" w:cs="Arial" w:eastAsia="Arial" w:hAnsi="Arial"/>
                <w:sz w:val="20"/>
                <w:szCs w:val="20"/>
                <w:color w:val="auto"/>
                <w:vertAlign w:val="superscript"/>
              </w:rPr>
              <w:t>(1)</w:t>
            </w:r>
          </w:p>
        </w:tc>
        <w:tc>
          <w:tcPr>
            <w:tcW w:w="340" w:type="dxa"/>
            <w:vAlign w:val="bottom"/>
            <w:tcBorders>
              <w:bottom w:val="single" w:sz="8" w:color="CCEEFF"/>
            </w:tcBorders>
          </w:tcPr>
          <w:p>
            <w:pPr>
              <w:jc w:val="right"/>
              <w:ind w:right="14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636,433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jc w:val="right"/>
              <w:ind w:right="1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563,153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73,280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13.0 %</w:t>
            </w:r>
          </w:p>
        </w:tc>
      </w:tr>
      <w:tr>
        <w:trPr>
          <w:trHeight w:val="20"/>
        </w:trPr>
        <w:tc>
          <w:tcPr>
            <w:tcW w:w="5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79" w:lineRule="exact"/>
        <w:rPr>
          <w:sz w:val="20"/>
          <w:szCs w:val="20"/>
          <w:color w:val="auto"/>
        </w:rPr>
      </w:pPr>
    </w:p>
    <w:p>
      <w:pPr>
        <w:ind w:left="140" w:hanging="137"/>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All non-GAAP measures are results from continuing operations. See "</w:t>
      </w:r>
      <w:r>
        <w:rPr>
          <w:rFonts w:ascii="Arial" w:cs="Arial" w:eastAsia="Arial" w:hAnsi="Arial"/>
          <w:sz w:val="12"/>
          <w:szCs w:val="12"/>
          <w:u w:val="single" w:color="auto"/>
          <w:color w:val="0000FF"/>
        </w:rPr>
        <w:t>Non-GAAP Financial Information</w:t>
      </w:r>
      <w:r>
        <w:rPr>
          <w:rFonts w:ascii="Arial" w:cs="Arial" w:eastAsia="Arial" w:hAnsi="Arial"/>
          <w:sz w:val="12"/>
          <w:szCs w:val="12"/>
          <w:color w:val="auto"/>
        </w:rPr>
        <w:t>" at the end of this item for a reconciliation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602615</wp:posOffset>
            </wp:positionV>
            <wp:extent cx="220980" cy="1225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23" w:name="page24"/>
    <w:bookmarkEnd w:id="2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Nine months ended March 31, 2026 compared to March 31, 2025</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Revenues increased $150.5 million, or 5.7%, from the prior year. U.S. assisted tax preparation revenues increased $119.5 million, or 6.9%, primarily due to a 4.0% increase in net average charge combined with a 2.7% increase in company-owned tax return volumes in the current year. U.S. royalties revenue decreased $ 4.2 million, or 2.9%, due to lower franchise tax return volumes, which was primarily driven by franchise acquisitions. During the year we purchased franchise offices which results in increasing tax preparation revenues and decreasing royalties as the revenues and returns become company-owned after the acquisition. Through the nine months ended March 31, 2026 our total assisted tax return volume, which includes both company-owned and franchise offices, increased 0.6% from the prior year.</w:t>
      </w:r>
    </w:p>
    <w:p>
      <w:pPr>
        <w:spacing w:after="0" w:line="70"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U.S. DIY tax preparation revenues increased $4.2 million, or 1.8%, largely due to a 3.9% increase in online paid net average charge, offset by a 2.7% decrease in online paid volume.</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International revenues increased $13.4 million, or 8.5%, primarily due to favorable foreign currency exchange rates in Canada and Australia.</w:t>
      </w:r>
    </w:p>
    <w:p>
      <w:pPr>
        <w:spacing w:after="0" w:line="114" w:lineRule="exact"/>
        <w:rPr>
          <w:sz w:val="20"/>
          <w:szCs w:val="20"/>
          <w:color w:val="auto"/>
        </w:rPr>
      </w:pPr>
    </w:p>
    <w:p>
      <w:pPr>
        <w:jc w:val="both"/>
        <w:ind w:firstLine="232"/>
        <w:spacing w:after="0" w:line="209" w:lineRule="exact"/>
        <w:rPr>
          <w:sz w:val="20"/>
          <w:szCs w:val="20"/>
          <w:color w:val="auto"/>
        </w:rPr>
      </w:pPr>
      <w:r>
        <w:rPr>
          <w:rFonts w:ascii="Arial" w:cs="Arial" w:eastAsia="Arial" w:hAnsi="Arial"/>
          <w:sz w:val="17"/>
          <w:szCs w:val="17"/>
          <w:color w:val="auto"/>
        </w:rPr>
        <w:t>Total operating expenses increased $76.3 million, or 3.5%, from the prior year period. Field wages increased $58.8 million, or 8.6%, due to increased tax professional wages as a result of higher U.S. assisted tax preparation revenues. Certain wage</w:t>
      </w:r>
      <w:r>
        <w:rPr>
          <w:rFonts w:ascii="MS PGothic" w:cs="MS PGothic" w:eastAsia="MS PGothic" w:hAnsi="MS PGothic"/>
          <w:sz w:val="17"/>
          <w:szCs w:val="17"/>
          <w:color w:val="auto"/>
        </w:rPr>
        <w:t>‑</w:t>
      </w:r>
      <w:r>
        <w:rPr>
          <w:rFonts w:ascii="Arial" w:cs="Arial" w:eastAsia="Arial" w:hAnsi="Arial"/>
          <w:sz w:val="17"/>
          <w:szCs w:val="17"/>
          <w:color w:val="auto"/>
        </w:rPr>
        <w:t>related expenses are now being reported in field wages rather than other wages to better align with how costs are managed and evaluated internally. This change had no impact on total operating expenses, and prior period amounts have not been reclassified. Benefits and other compensation increased $6.1 million, or 3.2%, due to higher payroll taxes, employee insurance, and severance. Occupancy expense increased $13.7 million, or 4.2%, primarily due to higher lease expenses and facility repairs. Marketing and advertising expense decreased $12.8 million, or 5.8%, due to lower online and TV advertising as well as lower customer incentives.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 operating expenses increased $5.8 million, or 1.5%. The components of other expenses are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Nine months ended March 31,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12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9"/>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Consulting and outsourced services</w:t>
            </w:r>
          </w:p>
        </w:tc>
        <w:tc>
          <w:tcPr>
            <w:tcW w:w="460" w:type="dxa"/>
            <w:vAlign w:val="bottom"/>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76,536</w:t>
            </w:r>
          </w:p>
        </w:tc>
        <w:tc>
          <w:tcPr>
            <w:tcW w:w="12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72,770</w:t>
            </w:r>
          </w:p>
        </w:tc>
        <w:tc>
          <w:tcPr>
            <w:tcW w:w="12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(3,766)</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(5.2)%</w:t>
            </w:r>
          </w:p>
        </w:tc>
      </w:tr>
      <w:tr>
        <w:trPr>
          <w:trHeight w:val="20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Bank partner fees</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32,781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32,199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06"/>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Client claims and refunds</w:t>
            </w:r>
          </w:p>
        </w:tc>
        <w:tc>
          <w:tcPr>
            <w:tcW w:w="4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17,795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18,696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901</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4.8 %</w:t>
            </w:r>
          </w:p>
        </w:tc>
      </w:tr>
      <w:tr>
        <w:trPr>
          <w:trHeight w:val="20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Employee and travel expenses</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26,073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27,164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4.0 %</w:t>
            </w:r>
          </w:p>
        </w:tc>
      </w:tr>
      <w:tr>
        <w:trPr>
          <w:trHeight w:val="206"/>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Technology-related expenses</w:t>
            </w:r>
          </w:p>
        </w:tc>
        <w:tc>
          <w:tcPr>
            <w:tcW w:w="4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93,197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87,035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(6,162)</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(7.1)%</w:t>
            </w:r>
          </w:p>
        </w:tc>
      </w:tr>
      <w:tr>
        <w:trPr>
          <w:trHeight w:val="20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Credit card/bank charges</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80,780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76,300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w:t>
            </w:r>
          </w:p>
        </w:tc>
      </w:tr>
      <w:tr>
        <w:trPr>
          <w:trHeight w:val="206"/>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Insurance</w:t>
            </w:r>
          </w:p>
        </w:tc>
        <w:tc>
          <w:tcPr>
            <w:tcW w:w="4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11,210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12,444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1,234</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9.9 %</w:t>
            </w:r>
          </w:p>
        </w:tc>
      </w:tr>
      <w:tr>
        <w:trPr>
          <w:trHeight w:val="20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Legal fees and settlements</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25,273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29,640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14.7 %</w:t>
            </w:r>
          </w:p>
        </w:tc>
      </w:tr>
      <w:tr>
        <w:trPr>
          <w:trHeight w:val="206"/>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Supplies</w:t>
            </w:r>
          </w:p>
        </w:tc>
        <w:tc>
          <w:tcPr>
            <w:tcW w:w="4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19,010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16,884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(2,126)</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(12.6)%</w:t>
            </w:r>
          </w:p>
        </w:tc>
      </w:tr>
      <w:tr>
        <w:trPr>
          <w:trHeight w:val="20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17,066</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20,768</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17.8 %</w:t>
            </w:r>
          </w:p>
        </w:tc>
      </w:tr>
      <w:tr>
        <w:trPr>
          <w:trHeight w:val="236"/>
        </w:trPr>
        <w:tc>
          <w:tcPr>
            <w:tcW w:w="49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399,721</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393,900</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(5,821)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(1.5)%</w:t>
            </w:r>
          </w:p>
        </w:tc>
      </w:tr>
      <w:tr>
        <w:trPr>
          <w:trHeight w:val="20"/>
        </w:trPr>
        <w:tc>
          <w:tcPr>
            <w:tcW w:w="49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60" w:type="dxa"/>
            <w:vAlign w:val="bottom"/>
            <w:tcBorders>
              <w:top w:val="single" w:sz="8" w:color="CCEEFF"/>
            </w:tcBorders>
            <w:shd w:val="clear" w:color="auto" w:fill="000000"/>
          </w:tcPr>
          <w:p>
            <w:pPr>
              <w:spacing w:after="0" w:line="20" w:lineRule="exact"/>
              <w:rPr>
                <w:sz w:val="1"/>
                <w:szCs w:val="1"/>
                <w:color w:val="auto"/>
              </w:rPr>
            </w:pPr>
          </w:p>
        </w:tc>
      </w:tr>
    </w:tbl>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Technology-related expenses increased $6.2 million, or 7.1%, due to higher third-party technology and software costs.</w:t>
      </w:r>
    </w:p>
    <w:p>
      <w:pPr>
        <w:spacing w:after="0" w:line="114"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 xml:space="preserve">We recorded income tax expense of $39.1 million in the current year compared to $104.6 million in the prior year. The effective tax rate for the nine months ended March 31, 2026, and 2025 was 8.1% and 25.3% respectively. The decrease in the effective tax rate was primarily attributable to the settlement of an IRS examination of our 2020 U.S. federal income tax return and related carryback claims to the 2015 through 2018 tax years. The closure of the IRS examination resulted in a discrete income tax benefit of $84.1 million, which was recorded in income tax expense. See </w:t>
      </w:r>
      <w:r>
        <w:rPr>
          <w:rFonts w:ascii="Arial" w:cs="Arial" w:eastAsia="Arial" w:hAnsi="Arial"/>
          <w:sz w:val="17"/>
          <w:szCs w:val="17"/>
          <w:u w:val="single" w:color="auto"/>
          <w:color w:val="0000FF"/>
        </w:rPr>
        <w:t>Item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1, note 7</w:t>
      </w:r>
      <w:r>
        <w:rPr>
          <w:rFonts w:ascii="Arial" w:cs="Arial" w:eastAsia="Arial" w:hAnsi="Arial"/>
          <w:sz w:val="17"/>
          <w:szCs w:val="17"/>
          <w:color w:val="0000FF"/>
        </w:rPr>
        <w:t xml:space="preserve"> </w:t>
      </w:r>
      <w:r>
        <w:rPr>
          <w:rFonts w:ascii="Arial" w:cs="Arial" w:eastAsia="Arial" w:hAnsi="Arial"/>
          <w:sz w:val="17"/>
          <w:szCs w:val="17"/>
          <w:color w:val="000000"/>
        </w:rPr>
        <w:t>to the consolidated financial statements for additional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593725</wp:posOffset>
            </wp:positionV>
            <wp:extent cx="212725" cy="122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0" w:hanging="266"/>
        <w:spacing w:after="0"/>
        <w:tabs>
          <w:tab w:leader="none" w:pos="360" w:val="left"/>
        </w:tabs>
        <w:numPr>
          <w:ilvl w:val="0"/>
          <w:numId w:val="17"/>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SEASON UPDATE</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Assisted tax return volume, which includes our company-owned and franchise operations, was flat from July 1, 2025 through April 30, 2026 compared to the prior year period. DIY online paid tax return volume from July 1, 2025 through April 30, 2026 decreased 4.2% compared to the prior year period. Our business is highly seasonal and results for the nine months ended March 31, as well as results for the period ended April 30, may not be indicative of results for the fiscal year ended June 30, 2026.</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These comments should be read in conjunction with the consolidated balance sheets and consolidated statements of cash flows included in </w:t>
      </w:r>
      <w:r>
        <w:rPr>
          <w:rFonts w:ascii="Arial" w:cs="Arial" w:eastAsia="Arial" w:hAnsi="Arial"/>
          <w:sz w:val="17"/>
          <w:szCs w:val="17"/>
          <w:u w:val="single" w:color="auto"/>
          <w:color w:val="0000FF"/>
        </w:rPr>
        <w:t>Part 1,</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Item 1</w:t>
      </w:r>
      <w:r>
        <w:rPr>
          <w:rFonts w:ascii="Arial" w:cs="Arial" w:eastAsia="Arial" w:hAnsi="Arial"/>
          <w:sz w:val="17"/>
          <w:szCs w:val="17"/>
          <w:color w:val="000000"/>
        </w:rPr>
        <w: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CAPITAL RESOURCES AND LIQUIDITY </w:t>
      </w:r>
      <w:r>
        <w:rPr>
          <w:rFonts w:ascii="Arial" w:cs="Arial" w:eastAsia="Arial" w:hAnsi="Arial"/>
          <w:sz w:val="17"/>
          <w:szCs w:val="17"/>
          <w:color w:val="auto"/>
        </w:rPr>
        <w:t>–</w:t>
      </w:r>
    </w:p>
    <w:p>
      <w:pPr>
        <w:spacing w:after="0" w:line="114"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 Our primary sources of capital and liquidity include cash from operations (including changes in working capital), draws on our</w:t>
      </w:r>
      <w:r>
        <w:rPr>
          <w:rFonts w:ascii="Arial" w:cs="Arial" w:eastAsia="Arial" w:hAnsi="Arial"/>
          <w:sz w:val="17"/>
          <w:szCs w:val="17"/>
          <w:b w:val="1"/>
          <w:bCs w:val="1"/>
          <w:color w:val="auto"/>
        </w:rPr>
        <w:t xml:space="preserve"> </w:t>
      </w:r>
      <w:r>
        <w:rPr>
          <w:rFonts w:ascii="Arial" w:cs="Arial" w:eastAsia="Arial" w:hAnsi="Arial"/>
          <w:sz w:val="17"/>
          <w:szCs w:val="17"/>
          <w:color w:val="auto"/>
        </w:rPr>
        <w:t>unsecured committed line of credit (CLOC), and issuances of debt. We use our sources of liquidity primarily to fund working capital, service and repay debt, pay dividends, repurchase shares of our common stock, and acquire businesses.</w:t>
      </w:r>
    </w:p>
    <w:p>
      <w:pPr>
        <w:spacing w:after="0" w:line="59"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 January. We typically have relied on available cash balances from the prior tax season and borrowings to meet liquidity needs.</w:t>
      </w:r>
    </w:p>
    <w:p>
      <w:pPr>
        <w:spacing w:after="0" w:line="65"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Given the likely availability of a number of liquidity options discussed herein, we believe that, in the absence of any unexpected developments, our existing sources of capital as of March 31, 2026 are sufficient to meet our operating, investing and financing needs.</w:t>
      </w:r>
    </w:p>
    <w:p>
      <w:pPr>
        <w:spacing w:after="0" w:line="41"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DISCUSSION OF CONSOLIDATED STATEMENTS OF CASH FLOWS </w:t>
      </w:r>
      <w:r>
        <w:rPr>
          <w:rFonts w:ascii="Arial" w:cs="Arial" w:eastAsia="Arial" w:hAnsi="Arial"/>
          <w:sz w:val="17"/>
          <w:szCs w:val="17"/>
          <w:color w:val="auto"/>
        </w:rPr>
        <w:t>– The following table summarizes our statements of cash flows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nine months ended March 31, 2026 and 2025. See </w:t>
      </w:r>
      <w:r>
        <w:rPr>
          <w:rFonts w:ascii="Arial" w:cs="Arial" w:eastAsia="Arial" w:hAnsi="Arial"/>
          <w:sz w:val="17"/>
          <w:szCs w:val="17"/>
          <w:u w:val="single" w:color="auto"/>
          <w:color w:val="0000FF"/>
        </w:rPr>
        <w:t>Item 1</w:t>
      </w:r>
      <w:r>
        <w:rPr>
          <w:rFonts w:ascii="Arial" w:cs="Arial" w:eastAsia="Arial" w:hAnsi="Arial"/>
          <w:sz w:val="17"/>
          <w:szCs w:val="17"/>
          <w:color w:val="auto"/>
        </w:rPr>
        <w:t xml:space="preserve"> for the complete consolidated statements of cash flows for these periods.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Nine months ended March 31,</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r>
      <w:tr>
        <w:trPr>
          <w:trHeight w:val="198"/>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Net cash provided by (used in):</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activities</w:t>
            </w:r>
          </w:p>
        </w:tc>
        <w:tc>
          <w:tcPr>
            <w:tcW w:w="680" w:type="dxa"/>
            <w:vAlign w:val="bottom"/>
            <w:shd w:val="clear" w:color="auto" w:fill="CCEEFF"/>
          </w:tcPr>
          <w:p>
            <w:pPr>
              <w:jc w:val="right"/>
              <w:ind w:right="483"/>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586,717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429,322</w:t>
            </w:r>
          </w:p>
        </w:tc>
      </w:tr>
      <w:tr>
        <w:trPr>
          <w:trHeight w:val="206"/>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Investing activities</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(122,560)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(110,890)</w:t>
            </w: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Financing activities</w:t>
            </w: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(579,481)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(595,506)</w:t>
            </w:r>
          </w:p>
        </w:tc>
      </w:tr>
      <w:tr>
        <w:trPr>
          <w:trHeight w:val="206"/>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Effects of exchange rates on cash</w:t>
            </w: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(1,070)</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(8,429)</w:t>
            </w:r>
          </w:p>
        </w:tc>
      </w:tr>
      <w:tr>
        <w:trPr>
          <w:trHeight w:val="19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decrease in cash and cash equivalents, including restricted balances</w:t>
            </w:r>
          </w:p>
        </w:tc>
        <w:tc>
          <w:tcPr>
            <w:tcW w:w="68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(116,394)</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(285,503)</w:t>
            </w:r>
          </w:p>
        </w:tc>
      </w:tr>
      <w:tr>
        <w:trPr>
          <w:trHeight w:val="32"/>
        </w:trPr>
        <w:tc>
          <w:tcPr>
            <w:tcW w:w="7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46" w:lineRule="exact"/>
        <w:rPr>
          <w:sz w:val="20"/>
          <w:szCs w:val="20"/>
          <w:color w:val="auto"/>
        </w:rPr>
      </w:pPr>
    </w:p>
    <w:p>
      <w:pPr>
        <w:ind w:right="40" w:firstLine="232"/>
        <w:spacing w:after="0" w:line="250"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Cash provided by operations totaled $586.7 million for the nine months ended March 31, 2026 compared to $429.3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prior year period. The increase is primarily due to higher net income, changes in accounts payable, accrued expenses, salaries, wages and payroll taxes and accounts receivable, partially offset by taxes paid and the release of income tax reserves associated with the settlement of the IRS examination of our 2020 U.S. federal income tax return and related carryback claims to the 2015 through 2018 tax years.</w:t>
      </w:r>
    </w:p>
    <w:p>
      <w:pPr>
        <w:spacing w:after="0" w:line="75"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used in investing activities totaled $122.6 million for the nine months ended March 31, 2026 compared to $110.9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the prior year period. The increase is primarily due to higher payments made for business acquisitions in the current year.</w:t>
      </w:r>
    </w:p>
    <w:p>
      <w:pPr>
        <w:spacing w:after="0" w:line="40"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Cash used in financing activities totaled $ 579.5 million for the nine months ended March 31, 2026 compared to $595.5</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the prior year period. The change is primarily due to lower share repurchases for payroll taxes on stock based awards, partially offset by higher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588645</wp:posOffset>
            </wp:positionV>
            <wp:extent cx="220980" cy="122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CASH REQUIREMENTS </w:t>
      </w:r>
      <w:r>
        <w:rPr>
          <w:rFonts w:ascii="Arial" w:cs="Arial" w:eastAsia="Arial" w:hAnsi="Arial"/>
          <w:sz w:val="17"/>
          <w:szCs w:val="17"/>
          <w:color w:val="auto"/>
        </w:rPr>
        <w:t>–</w:t>
      </w:r>
    </w:p>
    <w:p>
      <w:pPr>
        <w:spacing w:after="0" w:line="114"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Dividends and Share Repurchases. </w:t>
      </w:r>
      <w:r>
        <w:rPr>
          <w:rFonts w:ascii="Arial" w:cs="Arial" w:eastAsia="Arial" w:hAnsi="Arial"/>
          <w:sz w:val="17"/>
          <w:szCs w:val="17"/>
          <w:color w:val="auto"/>
        </w:rPr>
        <w:t>Returning capital to shareholders in the form of dividends and the repurchase of outstanding shares is,</w:t>
      </w:r>
      <w:r>
        <w:rPr>
          <w:rFonts w:ascii="Arial" w:cs="Arial" w:eastAsia="Arial" w:hAnsi="Arial"/>
          <w:sz w:val="17"/>
          <w:szCs w:val="17"/>
          <w:b w:val="1"/>
          <w:bCs w:val="1"/>
          <w:color w:val="auto"/>
        </w:rPr>
        <w:t xml:space="preserve"> </w:t>
      </w:r>
      <w:r>
        <w:rPr>
          <w:rFonts w:ascii="Arial" w:cs="Arial" w:eastAsia="Arial" w:hAnsi="Arial"/>
          <w:sz w:val="17"/>
          <w:szCs w:val="17"/>
          <w:color w:val="auto"/>
        </w:rPr>
        <w:t>and has historically been, a significant component of our capital allocation plan.</w:t>
      </w:r>
    </w:p>
    <w:p>
      <w:pPr>
        <w:spacing w:after="0" w:line="42"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We have consistently paid quarterly dividends. Dividends paid totaled $157.8 million and $147.1 million for the nine months ended March 31, 2026 and 2025, respectively. Although we have historically paid dividends and plan to continue to do so, there can be no assurances that circumstances will not change in the future that could affect our ability or decisions to pay dividends.</w:t>
      </w:r>
    </w:p>
    <w:p>
      <w:pPr>
        <w:spacing w:after="0" w:line="60"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During the nine months ended March 31, 2026, we repurchased $400.1 million of our common stock at an average price of $50.90 per share, excluding excise taxes in connection with such repurchases. In the prior year period, we repurchased $400.1 million of our common stock at an average price of $61.10 per share, excluding excise taxes in connection with such repurchases. Our current share repurchase program has remaining authorization of $700.0 million and does not have an expiration date.</w:t>
      </w:r>
    </w:p>
    <w:p>
      <w:pPr>
        <w:spacing w:after="0" w:line="65"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63" w:lineRule="exact"/>
        <w:rPr>
          <w:sz w:val="20"/>
          <w:szCs w:val="20"/>
          <w:color w:val="auto"/>
        </w:rPr>
      </w:pPr>
    </w:p>
    <w:p>
      <w:pPr>
        <w:jc w:val="both"/>
        <w:ind w:firstLine="337"/>
        <w:spacing w:after="0" w:line="263" w:lineRule="auto"/>
        <w:rPr>
          <w:sz w:val="20"/>
          <w:szCs w:val="20"/>
          <w:color w:val="auto"/>
        </w:rPr>
      </w:pPr>
      <w:r>
        <w:rPr>
          <w:rFonts w:ascii="Arial" w:cs="Arial" w:eastAsia="Arial" w:hAnsi="Arial"/>
          <w:sz w:val="17"/>
          <w:szCs w:val="17"/>
          <w:b w:val="1"/>
          <w:bCs w:val="1"/>
          <w:color w:val="auto"/>
        </w:rPr>
        <w:t xml:space="preserve">Capital Investment. </w:t>
      </w:r>
      <w:r>
        <w:rPr>
          <w:rFonts w:ascii="Arial" w:cs="Arial" w:eastAsia="Arial" w:hAnsi="Arial"/>
          <w:sz w:val="17"/>
          <w:szCs w:val="17"/>
          <w:color w:val="auto"/>
        </w:rPr>
        <w:t>Capital expenditures totaled $67.1 million and $71.8 million for the nine months ended March 31, 2026 and 2025,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 totaling $ 55.0 million and $35.3 million during the nine months ended March 31, 2026 and 2025, respectively. See </w:t>
      </w:r>
      <w:r>
        <w:rPr>
          <w:rFonts w:ascii="Arial" w:cs="Arial" w:eastAsia="Arial" w:hAnsi="Arial"/>
          <w:sz w:val="17"/>
          <w:szCs w:val="17"/>
          <w:u w:val="single" w:color="auto"/>
          <w:color w:val="0000FF"/>
        </w:rPr>
        <w:t>Item 1, note 5</w:t>
      </w:r>
      <w:r>
        <w:rPr>
          <w:rFonts w:ascii="Arial" w:cs="Arial" w:eastAsia="Arial" w:hAnsi="Arial"/>
          <w:sz w:val="17"/>
          <w:szCs w:val="17"/>
          <w:color w:val="auto"/>
        </w:rPr>
        <w:t xml:space="preserve"> for additional information on our acquisitions.</w:t>
      </w:r>
    </w:p>
    <w:p>
      <w:pPr>
        <w:spacing w:after="0" w:line="63"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7"/>
          <w:szCs w:val="17"/>
          <w:b w:val="1"/>
          <w:bCs w:val="1"/>
          <w:color w:val="auto"/>
        </w:rPr>
        <w:t xml:space="preserve">FINANCING RESOURCES </w:t>
      </w:r>
      <w:r>
        <w:rPr>
          <w:rFonts w:ascii="Arial" w:cs="Arial" w:eastAsia="Arial" w:hAnsi="Arial"/>
          <w:sz w:val="17"/>
          <w:szCs w:val="17"/>
          <w:color w:val="auto"/>
        </w:rPr>
        <w:t>– The 2025 CLOC has capacity up to $1.5 billion and is scheduled to expire in July 2030. Proceeds under the 2025</w:t>
      </w:r>
      <w:r>
        <w:rPr>
          <w:rFonts w:ascii="Arial" w:cs="Arial" w:eastAsia="Arial" w:hAnsi="Arial"/>
          <w:sz w:val="17"/>
          <w:szCs w:val="17"/>
          <w:b w:val="1"/>
          <w:bCs w:val="1"/>
          <w:color w:val="auto"/>
        </w:rPr>
        <w:t xml:space="preserve"> </w:t>
      </w:r>
      <w:r>
        <w:rPr>
          <w:rFonts w:ascii="Arial" w:cs="Arial" w:eastAsia="Arial" w:hAnsi="Arial"/>
          <w:sz w:val="17"/>
          <w:szCs w:val="17"/>
          <w:color w:val="auto"/>
        </w:rPr>
        <w:t>CLOC may be used for working capital needs or for other general corporate purposes. We had no outstanding balance on our 2025 CLOC and amounts available to borrow were not limited by the debt-to-EBITDA covenant as of March 31, 2026.</w:t>
      </w:r>
    </w:p>
    <w:p>
      <w:pPr>
        <w:spacing w:after="0" w:line="59"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On August 26, 2025, we issued the 2032 Senior Notes. We redeemed our 2025 Senior Notes at 100% of the principal amount, plus accrued and unpaid interest, on September 19, 2025.</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ratings for debt issued by Block Financial LLC (Block Financial) as of March 31, 2026 and June 30,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March 31, 2026</w:t>
            </w:r>
          </w:p>
        </w:tc>
        <w:tc>
          <w:tcPr>
            <w:tcW w:w="1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5"/>
                <w:szCs w:val="15"/>
                <w:color w:val="auto"/>
              </w:rPr>
              <w:t>June 30, 2025</w:t>
            </w:r>
          </w:p>
        </w:tc>
        <w:tc>
          <w:tcPr>
            <w:tcW w:w="1220" w:type="dxa"/>
            <w:vAlign w:val="bottom"/>
            <w:tcBorders>
              <w:top w:val="single" w:sz="8" w:color="auto"/>
              <w:bottom w:val="single" w:sz="8" w:color="auto"/>
            </w:tcBorders>
          </w:tcPr>
          <w:p>
            <w:pPr>
              <w:spacing w:after="0"/>
              <w:rPr>
                <w:sz w:val="19"/>
                <w:szCs w:val="19"/>
                <w:color w:val="auto"/>
              </w:rPr>
            </w:pPr>
          </w:p>
        </w:tc>
      </w:tr>
      <w:tr>
        <w:trPr>
          <w:trHeight w:val="198"/>
        </w:trPr>
        <w:tc>
          <w:tcPr>
            <w:tcW w:w="3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Short-term</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Long-term</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Outlook</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Short-term</w:t>
            </w:r>
          </w:p>
        </w:tc>
        <w:tc>
          <w:tcPr>
            <w:tcW w:w="8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Long-term</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Outlook</w:t>
            </w:r>
          </w:p>
        </w:tc>
      </w:tr>
      <w:tr>
        <w:trPr>
          <w:trHeight w:val="200"/>
        </w:trPr>
        <w:tc>
          <w:tcPr>
            <w:tcW w:w="3480" w:type="dxa"/>
            <w:vAlign w:val="bottom"/>
            <w:gridSpan w:val="2"/>
          </w:tcPr>
          <w:p>
            <w:pPr>
              <w:ind w:left="20"/>
              <w:spacing w:after="0"/>
              <w:rPr>
                <w:sz w:val="20"/>
                <w:szCs w:val="20"/>
                <w:color w:val="auto"/>
              </w:rPr>
            </w:pPr>
            <w:r>
              <w:rPr>
                <w:rFonts w:ascii="Arial" w:cs="Arial" w:eastAsia="Arial" w:hAnsi="Arial"/>
                <w:sz w:val="15"/>
                <w:szCs w:val="15"/>
                <w:color w:val="auto"/>
              </w:rPr>
              <w:t>Moody's</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P-3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Baa3</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Stable</w:t>
            </w:r>
          </w:p>
        </w:tc>
        <w:tc>
          <w:tcPr>
            <w:tcW w:w="1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P-3</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Baa3</w:t>
            </w:r>
          </w:p>
        </w:tc>
        <w:tc>
          <w:tcPr>
            <w:tcW w:w="1220" w:type="dxa"/>
            <w:vAlign w:val="bottom"/>
          </w:tcPr>
          <w:p>
            <w:pPr>
              <w:jc w:val="right"/>
              <w:spacing w:after="0"/>
              <w:rPr>
                <w:sz w:val="20"/>
                <w:szCs w:val="20"/>
                <w:color w:val="auto"/>
              </w:rPr>
            </w:pPr>
            <w:r>
              <w:rPr>
                <w:rFonts w:ascii="Arial" w:cs="Arial" w:eastAsia="Arial" w:hAnsi="Arial"/>
                <w:sz w:val="15"/>
                <w:szCs w:val="15"/>
                <w:color w:val="auto"/>
              </w:rPr>
              <w:t>Stable</w:t>
            </w:r>
          </w:p>
        </w:tc>
      </w:tr>
      <w:tr>
        <w:trPr>
          <w:trHeight w:val="20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S&amp;P</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A-2</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BBB</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Stable</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A-2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BBB</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Stable</w:t>
            </w:r>
          </w:p>
        </w:tc>
      </w:tr>
      <w:tr>
        <w:trPr>
          <w:trHeight w:val="52"/>
        </w:trPr>
        <w:tc>
          <w:tcPr>
            <w:tcW w:w="3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Other than described above, there have been no material changes in our borrowings from those reported as of June 30, 2025 in our Annual Report on Form 10-K.</w:t>
      </w:r>
    </w:p>
    <w:p>
      <w:pPr>
        <w:spacing w:after="0" w:line="41"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CASH AND OTHER ASSETS </w:t>
      </w:r>
      <w:r>
        <w:rPr>
          <w:rFonts w:ascii="Arial" w:cs="Arial" w:eastAsia="Arial" w:hAnsi="Arial"/>
          <w:sz w:val="17"/>
          <w:szCs w:val="17"/>
          <w:color w:val="auto"/>
        </w:rPr>
        <w:t>– As of March 31, 2026, we held cash and cash equivalents, excluding restricted amounts, of $867.0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$196.7 million held by our foreign subsidiaries.</w:t>
      </w:r>
    </w:p>
    <w:p>
      <w:pPr>
        <w:spacing w:after="0" w:line="40"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Foreign Operations. </w:t>
      </w:r>
      <w:r>
        <w:rPr>
          <w:rFonts w:ascii="Arial" w:cs="Arial" w:eastAsia="Arial" w:hAnsi="Arial"/>
          <w:sz w:val="17"/>
          <w:szCs w:val="17"/>
          <w:color w:val="auto"/>
        </w:rPr>
        <w:t>Seasonal borrowing needs of our Canadian operations are typically funded by our U.S. operations. To mitigate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risk, we sometimes enter into foreign exchange forward contracts. There were no forward contracts outstanding as of March 31, 2026.</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do not currently intend to repatriate non-borrowed funds held by our foreign subsidiaries in a manner that would trigger a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631825</wp:posOffset>
            </wp:positionV>
            <wp:extent cx="212725" cy="1225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hanging="266"/>
        <w:spacing w:after="0"/>
        <w:tabs>
          <w:tab w:leader="none" w:pos="360" w:val="left"/>
        </w:tabs>
        <w:numPr>
          <w:ilvl w:val="0"/>
          <w:numId w:val="18"/>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6" w:name="page27"/>
    <w:bookmarkEnd w:id="2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The impact of changes in foreign exchange rates during the period on our international cash balances resulted in a decrease of $1.1 million and $8.4 million during the nine months ended March 31, 2026 and 2025, respectively.</w:t>
      </w:r>
    </w:p>
    <w:p>
      <w:pPr>
        <w:spacing w:after="0" w:line="41"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b w:val="1"/>
          <w:bCs w:val="1"/>
          <w:color w:val="auto"/>
        </w:rPr>
        <w:t xml:space="preserve">CONTRACTUAL OBLIGATIONS AND COMMERCIAL COMMITMENTS </w:t>
      </w:r>
      <w:r>
        <w:rPr>
          <w:rFonts w:ascii="Arial" w:cs="Arial" w:eastAsia="Arial" w:hAnsi="Arial"/>
          <w:sz w:val="17"/>
          <w:szCs w:val="17"/>
          <w:color w:val="auto"/>
        </w:rPr>
        <w:t>– EAs are originated by Pathward. We purchase participation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at par, in all EAs originated by Pathward in accordance with our participation agreement. Our participation interest varies by jurisdiction. For the nine months ended March 31, 2026, the principal balance of purchased participation interests for the current year totaled $283.7 million, which represents 87% of total EA volume originated by Pathward.</w:t>
      </w:r>
    </w:p>
    <w:p>
      <w:pPr>
        <w:spacing w:after="0" w:line="64"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 xml:space="preserve">Except as described in </w:t>
      </w:r>
      <w:r>
        <w:rPr>
          <w:rFonts w:ascii="Arial" w:cs="Arial" w:eastAsia="Arial" w:hAnsi="Arial"/>
          <w:sz w:val="17"/>
          <w:szCs w:val="17"/>
          <w:u w:val="single" w:color="auto"/>
          <w:color w:val="0000FF"/>
        </w:rPr>
        <w:t>Recent Developments</w:t>
      </w:r>
      <w:r>
        <w:rPr>
          <w:rFonts w:ascii="Arial" w:cs="Arial" w:eastAsia="Arial" w:hAnsi="Arial"/>
          <w:sz w:val="17"/>
          <w:szCs w:val="17"/>
          <w:color w:val="auto"/>
        </w:rPr>
        <w:t xml:space="preserve"> related to the 2025 CLOC, the 2032 Senior Notes issuance and the 2025 Senior Notes redemption, there have been no other material changes in our contractual obligations and commercial commitments from those reported in our June 30, 2025 Annual Report on Form 10-K.</w:t>
      </w:r>
    </w:p>
    <w:p>
      <w:pPr>
        <w:spacing w:after="0" w:line="58"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SUMMARIZED GUARANTOR FINANCIAL STATEMENTS </w:t>
      </w:r>
      <w:r>
        <w:rPr>
          <w:rFonts w:ascii="Arial" w:cs="Arial" w:eastAsia="Arial" w:hAnsi="Arial"/>
          <w:sz w:val="17"/>
          <w:szCs w:val="17"/>
          <w:color w:val="auto"/>
        </w:rPr>
        <w:t>– Block Financial is a 100% owned subsidiary of H&amp;R Block, Inc. Block Financial is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Issuer and H&amp;R Block, Inc. is the full and unconditional Guarantor of our Senior Notes, CLOC and other indebtedness issued from time to time.</w:t>
      </w:r>
    </w:p>
    <w:p>
      <w:pPr>
        <w:spacing w:after="0" w:line="42"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SUMMARIZED BALANCE SHEET - GUARANTOR AND ISSUER</w:t>
            </w:r>
          </w:p>
        </w:tc>
        <w:tc>
          <w:tcPr>
            <w:tcW w:w="5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99"/>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June 30, 2025</w:t>
            </w:r>
          </w:p>
        </w:tc>
      </w:tr>
      <w:tr>
        <w:trPr>
          <w:trHeight w:val="199"/>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Current assets</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53,021</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38,254</w:t>
            </w:r>
          </w:p>
        </w:tc>
      </w:tr>
      <w:tr>
        <w:trPr>
          <w:trHeight w:val="20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5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1,848,462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1,836,847</w:t>
            </w:r>
          </w:p>
        </w:tc>
      </w:tr>
      <w:tr>
        <w:trPr>
          <w:trHeight w:val="206"/>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Current liabilities</w:t>
            </w:r>
          </w:p>
        </w:tc>
        <w:tc>
          <w:tcPr>
            <w:tcW w:w="5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82,882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432,139</w:t>
            </w:r>
          </w:p>
        </w:tc>
      </w:tr>
      <w:tr>
        <w:trPr>
          <w:trHeight w:val="20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Noncurrent liabilities</w:t>
            </w:r>
          </w:p>
        </w:tc>
        <w:tc>
          <w:tcPr>
            <w:tcW w:w="5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1,495,849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1,148,806</w:t>
            </w:r>
          </w:p>
        </w:tc>
      </w:tr>
      <w:tr>
        <w:trPr>
          <w:trHeight w:val="52"/>
        </w:trPr>
        <w:tc>
          <w:tcPr>
            <w:tcW w:w="7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12"/>
        </w:trPr>
        <w:tc>
          <w:tcPr>
            <w:tcW w:w="7140" w:type="dxa"/>
            <w:vAlign w:val="bottom"/>
            <w:tcBorders>
              <w:bottom w:val="single" w:sz="8" w:color="auto"/>
            </w:tcBorders>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199"/>
        </w:trPr>
        <w:tc>
          <w:tcPr>
            <w:tcW w:w="71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SUMMARIZED STATEMENTS OF OPERATIONS - GUARANTOR AND ISSUER</w:t>
            </w:r>
          </w:p>
        </w:tc>
        <w:tc>
          <w:tcPr>
            <w:tcW w:w="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48"/>
        </w:trPr>
        <w:tc>
          <w:tcPr>
            <w:tcW w:w="7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3"/>
          </w:tcPr>
          <w:p>
            <w:pPr>
              <w:jc w:val="right"/>
              <w:ind w:right="120"/>
              <w:spacing w:after="0" w:line="148" w:lineRule="exact"/>
              <w:rPr>
                <w:sz w:val="20"/>
                <w:szCs w:val="20"/>
                <w:color w:val="auto"/>
              </w:rPr>
            </w:pPr>
            <w:r>
              <w:rPr>
                <w:rFonts w:ascii="Arial" w:cs="Arial" w:eastAsia="Arial" w:hAnsi="Arial"/>
                <w:sz w:val="15"/>
                <w:szCs w:val="15"/>
                <w:b w:val="1"/>
                <w:bCs w:val="1"/>
                <w:color w:val="auto"/>
              </w:rPr>
              <w:t>Nine months ended March</w:t>
            </w:r>
          </w:p>
        </w:tc>
        <w:tc>
          <w:tcPr>
            <w:tcW w:w="280" w:type="dxa"/>
            <w:vAlign w:val="bottom"/>
          </w:tcPr>
          <w:p>
            <w:pPr>
              <w:spacing w:after="0"/>
              <w:rPr>
                <w:sz w:val="12"/>
                <w:szCs w:val="12"/>
                <w:color w:val="auto"/>
              </w:rPr>
            </w:pPr>
          </w:p>
        </w:tc>
        <w:tc>
          <w:tcPr>
            <w:tcW w:w="1720" w:type="dxa"/>
            <w:vAlign w:val="bottom"/>
          </w:tcPr>
          <w:p>
            <w:pPr>
              <w:jc w:val="right"/>
              <w:spacing w:after="0" w:line="148" w:lineRule="exact"/>
              <w:rPr>
                <w:sz w:val="20"/>
                <w:szCs w:val="20"/>
                <w:color w:val="auto"/>
              </w:rPr>
            </w:pPr>
            <w:r>
              <w:rPr>
                <w:rFonts w:ascii="Arial" w:cs="Arial" w:eastAsia="Arial" w:hAnsi="Arial"/>
                <w:sz w:val="15"/>
                <w:szCs w:val="15"/>
                <w:color w:val="auto"/>
              </w:rPr>
              <w:t>Twelve months ended</w:t>
            </w:r>
          </w:p>
        </w:tc>
      </w:tr>
      <w:tr>
        <w:trPr>
          <w:trHeight w:val="206"/>
        </w:trPr>
        <w:tc>
          <w:tcPr>
            <w:tcW w:w="7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31, 2026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June 30, 2025</w:t>
            </w:r>
          </w:p>
        </w:tc>
      </w:tr>
      <w:tr>
        <w:trPr>
          <w:trHeight w:val="199"/>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Total revenues</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104,498</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126,240</w:t>
            </w:r>
          </w:p>
        </w:tc>
      </w:tr>
      <w:tr>
        <w:trPr>
          <w:trHeight w:val="20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from continuing operations before income taxes</w:t>
            </w:r>
          </w:p>
        </w:tc>
        <w:tc>
          <w:tcPr>
            <w:tcW w:w="5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47,726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58,596</w:t>
            </w:r>
          </w:p>
        </w:tc>
      </w:tr>
      <w:tr>
        <w:trPr>
          <w:trHeight w:val="206"/>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Net income from continuing operations</w:t>
            </w:r>
          </w:p>
        </w:tc>
        <w:tc>
          <w:tcPr>
            <w:tcW w:w="5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36,749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45,120</w:t>
            </w:r>
          </w:p>
        </w:tc>
      </w:tr>
      <w:tr>
        <w:trPr>
          <w:trHeight w:val="20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5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34,820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41,443</w:t>
            </w:r>
          </w:p>
        </w:tc>
      </w:tr>
      <w:tr>
        <w:trPr>
          <w:trHeight w:val="52"/>
        </w:trPr>
        <w:tc>
          <w:tcPr>
            <w:tcW w:w="7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bl>
    <w:p>
      <w:pPr>
        <w:spacing w:after="0" w:line="1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The table above reflects $1.8 billion of non-current intercompany receivables due to the Issuer from non-guarantor subsidiaries as of March 31, 2026 and June 30, 2025.</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ENVIRONMENT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regulatory environment from what was reported in our June 30, 2025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INFORMATION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Non-GAAP financial measures should not be considered as a substitute for, or superior to, measures of financial performance prepared in accordance with U.S. generally accepted accounting principles (GAAP). Because these measures are not measures of financial performance under GAAP and are susceptible to varying calculations, they may not be comparable to similarly titled measures for other companies.</w:t>
      </w:r>
    </w:p>
    <w:p>
      <w:pPr>
        <w:spacing w:after="0" w:line="60"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material discrete tax impacts of IRS examination settlements, amortization of intangibles from acquisitions and goodwill impairments. We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596900</wp:posOffset>
            </wp:positionV>
            <wp:extent cx="220980" cy="1225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consider whether other significant items that arise in the future should be excluded from our non-GAAP financial measures.</w:t>
      </w:r>
    </w:p>
    <w:p>
      <w:pPr>
        <w:spacing w:after="0" w:line="114"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We measure the performance of our business using a variety of metrics, including earnings before interest, taxes, depreciation and amortization (EBITDA) from continuing operations, adjusted EBITDA from continuing operations, adjusted net income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is a reconciliation of net income to EBITDA from continuing operations, which is a non-GAAP financial measure: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5"/>
          </w:tcPr>
          <w:p>
            <w:pPr>
              <w:ind w:left="200"/>
              <w:spacing w:after="0"/>
              <w:rPr>
                <w:sz w:val="20"/>
                <w:szCs w:val="20"/>
                <w:color w:val="auto"/>
              </w:rPr>
            </w:pPr>
            <w:r>
              <w:rPr>
                <w:rFonts w:ascii="Arial" w:cs="Arial" w:eastAsia="Arial" w:hAnsi="Arial"/>
                <w:sz w:val="15"/>
                <w:szCs w:val="15"/>
                <w:color w:val="auto"/>
              </w:rPr>
              <w:t>Three months ended March 31,</w:t>
            </w:r>
          </w:p>
        </w:tc>
        <w:tc>
          <w:tcPr>
            <w:tcW w:w="420" w:type="dxa"/>
            <w:vAlign w:val="bottom"/>
          </w:tcPr>
          <w:p>
            <w:pPr>
              <w:spacing w:after="0"/>
              <w:rPr>
                <w:sz w:val="17"/>
                <w:szCs w:val="17"/>
                <w:color w:val="auto"/>
              </w:rPr>
            </w:pPr>
          </w:p>
        </w:tc>
        <w:tc>
          <w:tcPr>
            <w:tcW w:w="2420" w:type="dxa"/>
            <w:vAlign w:val="bottom"/>
            <w:gridSpan w:val="3"/>
          </w:tcPr>
          <w:p>
            <w:pPr>
              <w:jc w:val="right"/>
              <w:spacing w:after="0"/>
              <w:rPr>
                <w:sz w:val="20"/>
                <w:szCs w:val="20"/>
                <w:color w:val="auto"/>
              </w:rPr>
            </w:pPr>
            <w:r>
              <w:rPr>
                <w:rFonts w:ascii="Arial" w:cs="Arial" w:eastAsia="Arial" w:hAnsi="Arial"/>
                <w:sz w:val="15"/>
                <w:szCs w:val="15"/>
                <w:color w:val="auto"/>
              </w:rPr>
              <w:t>Nine months ended March 31,</w:t>
            </w:r>
          </w:p>
        </w:tc>
        <w:tc>
          <w:tcPr>
            <w:tcW w:w="680" w:type="dxa"/>
            <w:vAlign w:val="bottom"/>
          </w:tcPr>
          <w:p>
            <w:pPr>
              <w:spacing w:after="0"/>
              <w:rPr>
                <w:sz w:val="17"/>
                <w:szCs w:val="17"/>
                <w:color w:val="auto"/>
              </w:rPr>
            </w:pPr>
          </w:p>
        </w:tc>
      </w:tr>
      <w:tr>
        <w:trPr>
          <w:trHeight w:val="200"/>
        </w:trPr>
        <w:tc>
          <w:tcPr>
            <w:tcW w:w="4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r>
      <w:tr>
        <w:trPr>
          <w:trHeight w:val="199"/>
        </w:trPr>
        <w:tc>
          <w:tcPr>
            <w:tcW w:w="4480" w:type="dxa"/>
            <w:vAlign w:val="bottom"/>
            <w:gridSpan w:val="2"/>
          </w:tcPr>
          <w:p>
            <w:pPr>
              <w:ind w:left="20"/>
              <w:spacing w:after="0"/>
              <w:rPr>
                <w:sz w:val="20"/>
                <w:szCs w:val="20"/>
                <w:color w:val="auto"/>
              </w:rPr>
            </w:pPr>
            <w:r>
              <w:rPr>
                <w:rFonts w:ascii="Arial" w:cs="Arial" w:eastAsia="Arial" w:hAnsi="Arial"/>
                <w:sz w:val="15"/>
                <w:szCs w:val="15"/>
                <w:color w:val="auto"/>
              </w:rPr>
              <w:t>Net income - as reported</w:t>
            </w:r>
          </w:p>
        </w:tc>
        <w:tc>
          <w:tcPr>
            <w:tcW w:w="300" w:type="dxa"/>
            <w:vAlign w:val="bottom"/>
          </w:tcPr>
          <w:p>
            <w:pPr>
              <w:jc w:val="right"/>
              <w:ind w:right="103"/>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b w:val="1"/>
                <w:bCs w:val="1"/>
                <w:color w:val="auto"/>
              </w:rPr>
              <w:t>847,901</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722,330</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439,916</w:t>
            </w:r>
          </w:p>
        </w:tc>
        <w:tc>
          <w:tcPr>
            <w:tcW w:w="100" w:type="dxa"/>
            <w:vAlign w:val="bottom"/>
          </w:tcPr>
          <w:p>
            <w:pPr>
              <w:spacing w:after="0"/>
              <w:rPr>
                <w:sz w:val="17"/>
                <w:szCs w:val="17"/>
                <w:color w:val="auto"/>
              </w:rPr>
            </w:pPr>
          </w:p>
        </w:tc>
        <w:tc>
          <w:tcPr>
            <w:tcW w:w="1020" w:type="dxa"/>
            <w:vAlign w:val="bottom"/>
          </w:tcPr>
          <w:p>
            <w:pPr>
              <w:jc w:val="right"/>
              <w:ind w:right="8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306,334</w:t>
            </w:r>
          </w:p>
        </w:tc>
      </w:tr>
      <w:tr>
        <w:trPr>
          <w:trHeight w:val="20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Discontinued operations, net</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879</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598</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1,930</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2,707</w:t>
            </w:r>
          </w:p>
        </w:tc>
      </w:tr>
      <w:tr>
        <w:trPr>
          <w:trHeight w:val="199"/>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income from continuing operations - as reported</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848,780</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722,928</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441,846</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309,041</w:t>
            </w:r>
          </w:p>
        </w:tc>
      </w:tr>
      <w:tr>
        <w:trPr>
          <w:trHeight w:val="18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 back:</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6"/>
        </w:trPr>
        <w:tc>
          <w:tcPr>
            <w:tcW w:w="4480" w:type="dxa"/>
            <w:vAlign w:val="bottom"/>
            <w:gridSpan w:val="2"/>
          </w:tcPr>
          <w:p>
            <w:pPr>
              <w:ind w:left="140"/>
              <w:spacing w:after="0"/>
              <w:rPr>
                <w:sz w:val="20"/>
                <w:szCs w:val="20"/>
                <w:color w:val="auto"/>
              </w:rPr>
            </w:pPr>
            <w:r>
              <w:rPr>
                <w:rFonts w:ascii="Arial" w:cs="Arial" w:eastAsia="Arial" w:hAnsi="Arial"/>
                <w:sz w:val="15"/>
                <w:szCs w:val="15"/>
                <w:color w:val="auto"/>
              </w:rPr>
              <w:t>Income taxes</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b w:val="1"/>
                <w:bCs w:val="1"/>
                <w:color w:val="auto"/>
              </w:rPr>
              <w:t>167,678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235,253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39,058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104,580</w:t>
            </w:r>
          </w:p>
        </w:tc>
      </w:tr>
      <w:tr>
        <w:trPr>
          <w:trHeight w:val="206"/>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24,307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24,686</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65,087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62,285</w:t>
            </w:r>
          </w:p>
        </w:tc>
      </w:tr>
      <w:tr>
        <w:trPr>
          <w:trHeight w:val="206"/>
        </w:trPr>
        <w:tc>
          <w:tcPr>
            <w:tcW w:w="4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Depreciation and amortization</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31,519</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29,221</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90,442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87,247</w:t>
            </w:r>
          </w:p>
        </w:tc>
      </w:tr>
      <w:tr>
        <w:trPr>
          <w:trHeight w:val="199"/>
        </w:trPr>
        <w:tc>
          <w:tcPr>
            <w:tcW w:w="4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223,504</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289,160</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194,587</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254,112</w:t>
            </w:r>
          </w:p>
        </w:tc>
      </w:tr>
      <w:tr>
        <w:trPr>
          <w:trHeight w:val="236"/>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EBITDA from continuing operations</w:t>
            </w: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1,072,284</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1,012,088</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636,433</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563,153</w:t>
            </w:r>
          </w:p>
        </w:tc>
      </w:tr>
      <w:tr>
        <w:trPr>
          <w:trHeight w:val="20"/>
        </w:trPr>
        <w:tc>
          <w:tcPr>
            <w:tcW w:w="44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r>
    </w:tbl>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is a reconciliation of our results from continuing operations to our adjusted results from continuing operations, which is a non-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GAAP financial measure:</w:t>
      </w:r>
    </w:p>
    <w:p>
      <w:pPr>
        <w:spacing w:after="0" w:line="146" w:lineRule="exact"/>
        <w:rPr>
          <w:sz w:val="20"/>
          <w:szCs w:val="20"/>
          <w:color w:val="auto"/>
        </w:rPr>
      </w:pPr>
    </w:p>
    <w:p>
      <w:pPr>
        <w:ind w:left="9020"/>
        <w:spacing w:after="0"/>
        <w:rPr>
          <w:sz w:val="20"/>
          <w:szCs w:val="20"/>
          <w:color w:val="auto"/>
        </w:rPr>
      </w:pPr>
      <w:r>
        <w:rPr>
          <w:rFonts w:ascii="Arial" w:cs="Arial" w:eastAsia="Arial" w:hAnsi="Arial"/>
          <w:sz w:val="13"/>
          <w:szCs w:val="13"/>
          <w:color w:val="auto"/>
        </w:rPr>
        <w:t>(in 000s,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5"/>
          </w:tcPr>
          <w:p>
            <w:pPr>
              <w:ind w:left="240"/>
              <w:spacing w:after="0"/>
              <w:rPr>
                <w:sz w:val="20"/>
                <w:szCs w:val="20"/>
                <w:color w:val="auto"/>
              </w:rPr>
            </w:pPr>
            <w:r>
              <w:rPr>
                <w:rFonts w:ascii="Arial" w:cs="Arial" w:eastAsia="Arial" w:hAnsi="Arial"/>
                <w:sz w:val="15"/>
                <w:szCs w:val="15"/>
                <w:color w:val="auto"/>
              </w:rPr>
              <w:t>Three months ended March 31,</w:t>
            </w:r>
          </w:p>
        </w:tc>
        <w:tc>
          <w:tcPr>
            <w:tcW w:w="46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3"/>
          </w:tcPr>
          <w:p>
            <w:pPr>
              <w:jc w:val="right"/>
              <w:ind w:right="3"/>
              <w:spacing w:after="0"/>
              <w:rPr>
                <w:sz w:val="20"/>
                <w:szCs w:val="20"/>
                <w:color w:val="auto"/>
              </w:rPr>
            </w:pPr>
            <w:r>
              <w:rPr>
                <w:rFonts w:ascii="Arial" w:cs="Arial" w:eastAsia="Arial" w:hAnsi="Arial"/>
                <w:sz w:val="15"/>
                <w:szCs w:val="15"/>
                <w:color w:val="auto"/>
              </w:rPr>
              <w:t>Nine months ended March 31,</w:t>
            </w: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Arial" w:cs="Arial" w:eastAsia="Arial" w:hAnsi="Arial"/>
                <w:sz w:val="15"/>
                <w:szCs w:val="15"/>
                <w:color w:val="auto"/>
              </w:rPr>
              <w:t>Net income from continuing operations - as reported</w:t>
            </w:r>
          </w:p>
        </w:tc>
        <w:tc>
          <w:tcPr>
            <w:tcW w:w="34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848,780</w:t>
            </w:r>
          </w:p>
        </w:tc>
        <w:tc>
          <w:tcPr>
            <w:tcW w:w="100" w:type="dxa"/>
            <w:vAlign w:val="bottom"/>
          </w:tcPr>
          <w:p>
            <w:pPr>
              <w:spacing w:after="0"/>
              <w:rPr>
                <w:sz w:val="17"/>
                <w:szCs w:val="17"/>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722,928</w:t>
            </w:r>
          </w:p>
        </w:tc>
        <w:tc>
          <w:tcPr>
            <w:tcW w:w="8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441,846</w:t>
            </w:r>
          </w:p>
        </w:tc>
        <w:tc>
          <w:tcPr>
            <w:tcW w:w="100" w:type="dxa"/>
            <w:vAlign w:val="bottom"/>
          </w:tcPr>
          <w:p>
            <w:pPr>
              <w:spacing w:after="0"/>
              <w:rPr>
                <w:sz w:val="17"/>
                <w:szCs w:val="17"/>
                <w:color w:val="auto"/>
              </w:rPr>
            </w:pPr>
          </w:p>
        </w:tc>
        <w:tc>
          <w:tcPr>
            <w:tcW w:w="1080" w:type="dxa"/>
            <w:vAlign w:val="bottom"/>
          </w:tcPr>
          <w:p>
            <w:pPr>
              <w:jc w:val="right"/>
              <w:ind w:right="90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309,041</w:t>
            </w: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160" w:type="dxa"/>
            <w:vAlign w:val="bottom"/>
            <w:gridSpan w:val="2"/>
          </w:tcPr>
          <w:p>
            <w:pPr>
              <w:ind w:left="140"/>
              <w:spacing w:after="0" w:line="156" w:lineRule="exact"/>
              <w:rPr>
                <w:sz w:val="20"/>
                <w:szCs w:val="20"/>
                <w:color w:val="auto"/>
              </w:rPr>
            </w:pPr>
            <w:r>
              <w:rPr>
                <w:rFonts w:ascii="Arial" w:cs="Arial" w:eastAsia="Arial" w:hAnsi="Arial"/>
                <w:sz w:val="15"/>
                <w:szCs w:val="15"/>
                <w:color w:val="auto"/>
              </w:rPr>
              <w:t>Amortization of intangibles related to acquisitions</w:t>
            </w:r>
          </w:p>
        </w:tc>
        <w:tc>
          <w:tcPr>
            <w:tcW w:w="3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12,170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5"/>
                <w:szCs w:val="15"/>
                <w:color w:val="auto"/>
              </w:rPr>
              <w:t>11,278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34,401</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33,316</w:t>
            </w:r>
          </w:p>
        </w:tc>
        <w:tc>
          <w:tcPr>
            <w:tcW w:w="0" w:type="dxa"/>
            <w:vAlign w:val="bottom"/>
          </w:tcPr>
          <w:p>
            <w:pPr>
              <w:spacing w:after="0"/>
              <w:rPr>
                <w:sz w:val="1"/>
                <w:szCs w:val="1"/>
                <w:color w:val="auto"/>
              </w:rPr>
            </w:pPr>
          </w:p>
        </w:tc>
      </w:tr>
      <w:tr>
        <w:trPr>
          <w:trHeight w:val="206"/>
        </w:trPr>
        <w:tc>
          <w:tcPr>
            <w:tcW w:w="4160" w:type="dxa"/>
            <w:vAlign w:val="bottom"/>
            <w:gridSpan w:val="2"/>
          </w:tcPr>
          <w:p>
            <w:pPr>
              <w:ind w:left="300"/>
              <w:spacing w:after="0"/>
              <w:rPr>
                <w:sz w:val="20"/>
                <w:szCs w:val="20"/>
                <w:color w:val="auto"/>
              </w:rPr>
            </w:pPr>
            <w:r>
              <w:rPr>
                <w:rFonts w:ascii="Arial" w:cs="Arial" w:eastAsia="Arial" w:hAnsi="Arial"/>
                <w:sz w:val="15"/>
                <w:szCs w:val="15"/>
                <w:color w:val="auto"/>
              </w:rPr>
              <w:t>(pretax)</w:t>
            </w:r>
          </w:p>
        </w:tc>
        <w:tc>
          <w:tcPr>
            <w:tcW w:w="3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Discrete tax impact of IRS examination settlements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(84,113)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(84,113)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160" w:type="dxa"/>
            <w:vAlign w:val="bottom"/>
            <w:tcBorders>
              <w:bottom w:val="single" w:sz="8" w:color="CCEEFF"/>
            </w:tcBorders>
            <w:gridSpan w:val="2"/>
          </w:tcPr>
          <w:p>
            <w:pPr>
              <w:ind w:left="140"/>
              <w:spacing w:after="0" w:line="207" w:lineRule="exact"/>
              <w:rPr>
                <w:sz w:val="20"/>
                <w:szCs w:val="20"/>
                <w:color w:val="auto"/>
              </w:rPr>
            </w:pPr>
            <w:r>
              <w:rPr>
                <w:rFonts w:ascii="Arial" w:cs="Arial" w:eastAsia="Arial" w:hAnsi="Arial"/>
                <w:sz w:val="15"/>
                <w:szCs w:val="15"/>
                <w:color w:val="auto"/>
              </w:rPr>
              <w:t xml:space="preserve">Tax effect of pretax adjustments </w:t>
            </w:r>
            <w:r>
              <w:rPr>
                <w:rFonts w:ascii="Arial" w:cs="Arial" w:eastAsia="Arial" w:hAnsi="Arial"/>
                <w:sz w:val="20"/>
                <w:szCs w:val="20"/>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(3,145)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(2,927)</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(8,381)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(8,111)</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Adjusted net income from continuing operations</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773,692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731,279</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383,753</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334,246</w:t>
            </w:r>
          </w:p>
        </w:tc>
        <w:tc>
          <w:tcPr>
            <w:tcW w:w="0" w:type="dxa"/>
            <w:vAlign w:val="bottom"/>
          </w:tcPr>
          <w:p>
            <w:pPr>
              <w:spacing w:after="0"/>
              <w:rPr>
                <w:sz w:val="1"/>
                <w:szCs w:val="1"/>
                <w:color w:val="auto"/>
              </w:rPr>
            </w:pPr>
          </w:p>
        </w:tc>
      </w:tr>
      <w:tr>
        <w:trPr>
          <w:trHeight w:val="135"/>
        </w:trPr>
        <w:tc>
          <w:tcPr>
            <w:tcW w:w="4160" w:type="dxa"/>
            <w:vAlign w:val="bottom"/>
            <w:gridSpan w:val="2"/>
          </w:tcPr>
          <w:p>
            <w:pPr>
              <w:ind w:left="20"/>
              <w:spacing w:after="0" w:line="136" w:lineRule="exact"/>
              <w:rPr>
                <w:sz w:val="20"/>
                <w:szCs w:val="20"/>
                <w:color w:val="auto"/>
              </w:rPr>
            </w:pPr>
            <w:r>
              <w:rPr>
                <w:rFonts w:ascii="Arial" w:cs="Arial" w:eastAsia="Arial" w:hAnsi="Arial"/>
                <w:sz w:val="15"/>
                <w:szCs w:val="15"/>
                <w:color w:val="auto"/>
              </w:rPr>
              <w:t>Diluted earnings per share from continuing operations - as</w:t>
            </w:r>
          </w:p>
        </w:tc>
        <w:tc>
          <w:tcPr>
            <w:tcW w:w="34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6.61</w:t>
            </w:r>
          </w:p>
        </w:tc>
        <w:tc>
          <w:tcPr>
            <w:tcW w:w="100" w:type="dxa"/>
            <w:vAlign w:val="bottom"/>
          </w:tcPr>
          <w:p>
            <w:pPr>
              <w:spacing w:after="0"/>
              <w:rPr>
                <w:sz w:val="11"/>
                <w:szCs w:val="11"/>
                <w:color w:val="auto"/>
              </w:rPr>
            </w:pPr>
          </w:p>
        </w:tc>
        <w:tc>
          <w:tcPr>
            <w:tcW w:w="540" w:type="dxa"/>
            <w:vAlign w:val="bottom"/>
            <w:vMerge w:val="restart"/>
          </w:tcPr>
          <w:p>
            <w:pPr>
              <w:jc w:val="right"/>
              <w:ind w:right="3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ind w:right="3"/>
              <w:spacing w:after="0"/>
              <w:rPr>
                <w:sz w:val="20"/>
                <w:szCs w:val="20"/>
                <w:color w:val="auto"/>
              </w:rPr>
            </w:pPr>
            <w:r>
              <w:rPr>
                <w:rFonts w:ascii="Arial" w:cs="Arial" w:eastAsia="Arial" w:hAnsi="Arial"/>
                <w:sz w:val="15"/>
                <w:szCs w:val="15"/>
                <w:color w:val="auto"/>
              </w:rPr>
              <w:t>5.32</w:t>
            </w:r>
          </w:p>
        </w:tc>
        <w:tc>
          <w:tcPr>
            <w:tcW w:w="80" w:type="dxa"/>
            <w:vAlign w:val="bottom"/>
          </w:tcPr>
          <w:p>
            <w:pPr>
              <w:spacing w:after="0"/>
              <w:rPr>
                <w:sz w:val="11"/>
                <w:szCs w:val="11"/>
                <w:color w:val="auto"/>
              </w:rPr>
            </w:pPr>
          </w:p>
        </w:tc>
        <w:tc>
          <w:tcPr>
            <w:tcW w:w="46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3.40</w:t>
            </w:r>
          </w:p>
        </w:tc>
        <w:tc>
          <w:tcPr>
            <w:tcW w:w="100" w:type="dxa"/>
            <w:vAlign w:val="bottom"/>
          </w:tcPr>
          <w:p>
            <w:pPr>
              <w:spacing w:after="0"/>
              <w:rPr>
                <w:sz w:val="11"/>
                <w:szCs w:val="11"/>
                <w:color w:val="auto"/>
              </w:rPr>
            </w:pPr>
          </w:p>
        </w:tc>
        <w:tc>
          <w:tcPr>
            <w:tcW w:w="1080" w:type="dxa"/>
            <w:vAlign w:val="bottom"/>
            <w:vMerge w:val="restart"/>
          </w:tcPr>
          <w:p>
            <w:pPr>
              <w:jc w:val="right"/>
              <w:ind w:right="903"/>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06"/>
        </w:trPr>
        <w:tc>
          <w:tcPr>
            <w:tcW w:w="4160" w:type="dxa"/>
            <w:vAlign w:val="bottom"/>
            <w:gridSpan w:val="2"/>
          </w:tcPr>
          <w:p>
            <w:pPr>
              <w:ind w:left="180"/>
              <w:spacing w:after="0"/>
              <w:rPr>
                <w:sz w:val="20"/>
                <w:szCs w:val="20"/>
                <w:color w:val="auto"/>
              </w:rPr>
            </w:pPr>
            <w:r>
              <w:rPr>
                <w:rFonts w:ascii="Arial" w:cs="Arial" w:eastAsia="Arial" w:hAnsi="Arial"/>
                <w:sz w:val="15"/>
                <w:szCs w:val="15"/>
                <w:color w:val="auto"/>
              </w:rPr>
              <w:t>reported</w:t>
            </w:r>
          </w:p>
        </w:tc>
        <w:tc>
          <w:tcPr>
            <w:tcW w:w="3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Adjustments, net of tax</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(0.59)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0.06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(0.45)</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0.18</w:t>
            </w:r>
          </w:p>
        </w:tc>
        <w:tc>
          <w:tcPr>
            <w:tcW w:w="0" w:type="dxa"/>
            <w:vAlign w:val="bottom"/>
          </w:tcPr>
          <w:p>
            <w:pPr>
              <w:spacing w:after="0"/>
              <w:rPr>
                <w:sz w:val="1"/>
                <w:szCs w:val="1"/>
                <w:color w:val="auto"/>
              </w:rPr>
            </w:pPr>
          </w:p>
        </w:tc>
      </w:tr>
      <w:tr>
        <w:trPr>
          <w:trHeight w:val="135"/>
        </w:trPr>
        <w:tc>
          <w:tcPr>
            <w:tcW w:w="4160" w:type="dxa"/>
            <w:vAlign w:val="bottom"/>
            <w:gridSpan w:val="2"/>
          </w:tcPr>
          <w:p>
            <w:pPr>
              <w:ind w:left="20"/>
              <w:spacing w:after="0" w:line="136" w:lineRule="exact"/>
              <w:rPr>
                <w:sz w:val="20"/>
                <w:szCs w:val="20"/>
                <w:color w:val="auto"/>
              </w:rPr>
            </w:pPr>
            <w:r>
              <w:rPr>
                <w:rFonts w:ascii="Arial" w:cs="Arial" w:eastAsia="Arial" w:hAnsi="Arial"/>
                <w:sz w:val="15"/>
                <w:szCs w:val="15"/>
                <w:color w:val="auto"/>
              </w:rPr>
              <w:t>Adjusted diluted earnings per share from continuing</w:t>
            </w:r>
          </w:p>
        </w:tc>
        <w:tc>
          <w:tcPr>
            <w:tcW w:w="34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6.02</w:t>
            </w:r>
          </w:p>
        </w:tc>
        <w:tc>
          <w:tcPr>
            <w:tcW w:w="100" w:type="dxa"/>
            <w:vAlign w:val="bottom"/>
          </w:tcPr>
          <w:p>
            <w:pPr>
              <w:spacing w:after="0"/>
              <w:rPr>
                <w:sz w:val="11"/>
                <w:szCs w:val="11"/>
                <w:color w:val="auto"/>
              </w:rPr>
            </w:pPr>
          </w:p>
        </w:tc>
        <w:tc>
          <w:tcPr>
            <w:tcW w:w="540" w:type="dxa"/>
            <w:vAlign w:val="bottom"/>
            <w:vMerge w:val="restart"/>
          </w:tcPr>
          <w:p>
            <w:pPr>
              <w:jc w:val="right"/>
              <w:ind w:right="3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ind w:right="3"/>
              <w:spacing w:after="0"/>
              <w:rPr>
                <w:sz w:val="20"/>
                <w:szCs w:val="20"/>
                <w:color w:val="auto"/>
              </w:rPr>
            </w:pPr>
            <w:r>
              <w:rPr>
                <w:rFonts w:ascii="Arial" w:cs="Arial" w:eastAsia="Arial" w:hAnsi="Arial"/>
                <w:sz w:val="15"/>
                <w:szCs w:val="15"/>
                <w:color w:val="auto"/>
              </w:rPr>
              <w:t>5.38</w:t>
            </w:r>
          </w:p>
        </w:tc>
        <w:tc>
          <w:tcPr>
            <w:tcW w:w="80" w:type="dxa"/>
            <w:vAlign w:val="bottom"/>
          </w:tcPr>
          <w:p>
            <w:pPr>
              <w:spacing w:after="0"/>
              <w:rPr>
                <w:sz w:val="11"/>
                <w:szCs w:val="11"/>
                <w:color w:val="auto"/>
              </w:rPr>
            </w:pPr>
          </w:p>
        </w:tc>
        <w:tc>
          <w:tcPr>
            <w:tcW w:w="46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2.95</w:t>
            </w:r>
          </w:p>
        </w:tc>
        <w:tc>
          <w:tcPr>
            <w:tcW w:w="100" w:type="dxa"/>
            <w:vAlign w:val="bottom"/>
          </w:tcPr>
          <w:p>
            <w:pPr>
              <w:spacing w:after="0"/>
              <w:rPr>
                <w:sz w:val="11"/>
                <w:szCs w:val="11"/>
                <w:color w:val="auto"/>
              </w:rPr>
            </w:pPr>
          </w:p>
        </w:tc>
        <w:tc>
          <w:tcPr>
            <w:tcW w:w="1080" w:type="dxa"/>
            <w:vAlign w:val="bottom"/>
            <w:vMerge w:val="restart"/>
          </w:tcPr>
          <w:p>
            <w:pPr>
              <w:jc w:val="right"/>
              <w:ind w:right="903"/>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operations</w:t>
            </w:r>
          </w:p>
        </w:tc>
        <w:tc>
          <w:tcPr>
            <w:tcW w:w="3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3"/>
          <w:szCs w:val="13"/>
          <w:color w:val="auto"/>
        </w:rPr>
        <w:t>Tax effect of adjustments is the difference between the tax provision calculated on a GAAP basis and on an adjusted non-GAAP basis.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This report and other documents filed with the Securities and Exchange Commission (SEC) may contain forward-looking statements. In addition, our senior management may make forward-looking statements orally to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578485</wp:posOffset>
            </wp:positionV>
            <wp:extent cx="212725" cy="1225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hanging="266"/>
        <w:spacing w:after="0"/>
        <w:tabs>
          <w:tab w:leader="none" w:pos="360" w:val="left"/>
        </w:tabs>
        <w:numPr>
          <w:ilvl w:val="0"/>
          <w:numId w:val="19"/>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external events beyond the Company's control, such as outbreaks of infectious disease, severe weather events, natural or manmade disasters, or changes in the regulatory environment in which we operate.</w:t>
      </w:r>
    </w:p>
    <w:p>
      <w:pPr>
        <w:spacing w:after="0" w:line="73"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65"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spacing w:after="0" w:line="70"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Details about risks, uncertainties and assumptions that could affect various aspects of our business are included throughout our Annual Report on Form 10-K for the fiscal year ended June 30, 2025 and are also described from time to time in other filings with the SEC. Investors should carefully consider all of these risks, and should pay particular attention to Item 1A, "Risk Factors," and Item 7 under "Critical Accounting Estimates" of our Annual Report on Form 10-K for the fiscal year ended June 30, 2025.</w:t>
      </w:r>
    </w:p>
    <w:p>
      <w:pPr>
        <w:spacing w:after="0" w:line="59"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3.</w:t>
      </w:r>
      <w:r>
        <w:rPr>
          <w:sz w:val="20"/>
          <w:szCs w:val="20"/>
          <w:color w:val="auto"/>
        </w:rPr>
        <w:tab/>
      </w:r>
      <w:r>
        <w:rPr>
          <w:rFonts w:ascii="Arial" w:cs="Arial" w:eastAsia="Arial" w:hAnsi="Arial"/>
          <w:sz w:val="23"/>
          <w:szCs w:val="23"/>
          <w:b w:val="1"/>
          <w:bCs w:val="1"/>
          <w:color w:val="14AA40"/>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market risks from those reported in our June 30, 2025 Annual Report on Form 10-K.</w:t>
      </w:r>
    </w:p>
    <w:p>
      <w:pPr>
        <w:spacing w:after="0" w:line="108"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4.</w:t>
        <w:tab/>
        <w:t>CONTROLS AND PROCEDURES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 As of the end of the period covered by this Form 10-Q, management,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6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CHANGES IN INTERNAL CONTROL OVER FINANCIAL REPORTING </w:t>
      </w:r>
      <w:r>
        <w:rPr>
          <w:rFonts w:ascii="Arial" w:cs="Arial" w:eastAsia="Arial" w:hAnsi="Arial"/>
          <w:sz w:val="17"/>
          <w:szCs w:val="17"/>
          <w:color w:val="auto"/>
        </w:rPr>
        <w:t>– There were no changes during the three months ended March 31, 2026</w:t>
      </w:r>
      <w:r>
        <w:rPr>
          <w:rFonts w:ascii="Arial" w:cs="Arial" w:eastAsia="Arial" w:hAnsi="Arial"/>
          <w:sz w:val="17"/>
          <w:szCs w:val="17"/>
          <w:b w:val="1"/>
          <w:bCs w:val="1"/>
          <w:color w:val="auto"/>
        </w:rPr>
        <w:t xml:space="preserve"> </w:t>
      </w:r>
      <w:r>
        <w:rPr>
          <w:rFonts w:ascii="Arial" w:cs="Arial" w:eastAsia="Arial" w:hAnsi="Arial"/>
          <w:sz w:val="17"/>
          <w:szCs w:val="17"/>
          <w:color w:val="auto"/>
        </w:rPr>
        <w:t>that materially affected, or are reasonably likely to materially affect, our internal control over financial reporting.</w:t>
      </w:r>
    </w:p>
    <w:p>
      <w:pPr>
        <w:spacing w:after="0" w:line="36" w:lineRule="exact"/>
        <w:rPr>
          <w:sz w:val="20"/>
          <w:szCs w:val="20"/>
          <w:color w:val="auto"/>
        </w:rPr>
      </w:pPr>
    </w:p>
    <w:p>
      <w:pPr>
        <w:spacing w:after="0"/>
        <w:tabs>
          <w:tab w:leader="none" w:pos="1080" w:val="left"/>
        </w:tabs>
        <w:rPr>
          <w:sz w:val="20"/>
          <w:szCs w:val="20"/>
          <w:color w:val="auto"/>
        </w:rPr>
      </w:pPr>
      <w:r>
        <w:rPr>
          <w:rFonts w:ascii="Arial" w:cs="Arial" w:eastAsia="Arial" w:hAnsi="Arial"/>
          <w:sz w:val="24"/>
          <w:szCs w:val="24"/>
          <w:b w:val="1"/>
          <w:bCs w:val="1"/>
          <w:color w:val="14AA40"/>
        </w:rPr>
        <w:t>PART II</w:t>
      </w:r>
      <w:r>
        <w:rPr>
          <w:sz w:val="20"/>
          <w:szCs w:val="20"/>
          <w:color w:val="auto"/>
        </w:rPr>
        <w:tab/>
      </w:r>
      <w:r>
        <w:rPr>
          <w:rFonts w:ascii="Arial" w:cs="Arial" w:eastAsia="Arial" w:hAnsi="Arial"/>
          <w:sz w:val="23"/>
          <w:szCs w:val="23"/>
          <w:b w:val="1"/>
          <w:bCs w:val="1"/>
          <w:color w:val="14AA40"/>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633095</wp:posOffset>
            </wp:positionV>
            <wp:extent cx="220980" cy="1225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1.</w:t>
        <w:tab/>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description of our material pending legal proceedings, see discussion in </w:t>
      </w:r>
      <w:r>
        <w:rPr>
          <w:rFonts w:ascii="Arial" w:cs="Arial" w:eastAsia="Arial" w:hAnsi="Arial"/>
          <w:sz w:val="17"/>
          <w:szCs w:val="17"/>
          <w:u w:val="single" w:color="auto"/>
          <w:color w:val="0000FF"/>
        </w:rPr>
        <w:t>Part I, Item 1, note 9</w:t>
      </w:r>
      <w:r>
        <w:rPr>
          <w:rFonts w:ascii="Arial" w:cs="Arial" w:eastAsia="Arial" w:hAnsi="Arial"/>
          <w:sz w:val="17"/>
          <w:szCs w:val="17"/>
          <w:color w:val="auto"/>
        </w:rPr>
        <w:t xml:space="preserve"> to the consolidated financial statements.</w:t>
      </w:r>
    </w:p>
    <w:p>
      <w:pPr>
        <w:spacing w:after="0" w:line="108" w:lineRule="exact"/>
        <w:rPr>
          <w:sz w:val="20"/>
          <w:szCs w:val="20"/>
          <w:color w:val="auto"/>
        </w:rPr>
      </w:pPr>
    </w:p>
    <w:p>
      <w:pPr>
        <w:spacing w:after="0"/>
        <w:tabs>
          <w:tab w:leader="none" w:pos="1260" w:val="left"/>
        </w:tabs>
        <w:rPr>
          <w:sz w:val="20"/>
          <w:szCs w:val="20"/>
          <w:color w:val="auto"/>
        </w:rPr>
      </w:pPr>
      <w:r>
        <w:rPr>
          <w:rFonts w:ascii="Arial" w:cs="Arial" w:eastAsia="Arial" w:hAnsi="Arial"/>
          <w:sz w:val="24"/>
          <w:szCs w:val="24"/>
          <w:b w:val="1"/>
          <w:bCs w:val="1"/>
          <w:color w:val="14AA40"/>
        </w:rPr>
        <w:t>ITEM 1A.</w:t>
      </w:r>
      <w:r>
        <w:rPr>
          <w:sz w:val="20"/>
          <w:szCs w:val="20"/>
          <w:color w:val="auto"/>
        </w:rPr>
        <w:tab/>
      </w:r>
      <w:r>
        <w:rPr>
          <w:rFonts w:ascii="Arial" w:cs="Arial" w:eastAsia="Arial" w:hAnsi="Arial"/>
          <w:sz w:val="23"/>
          <w:szCs w:val="23"/>
          <w:b w:val="1"/>
          <w:bCs w:val="1"/>
          <w:color w:val="14AA40"/>
        </w:rPr>
        <w:t>RISK FACTORS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risk factors from those reported in our June 30, 2025 Annual Report on Form 10-K.</w:t>
      </w:r>
    </w:p>
    <w:p>
      <w:pPr>
        <w:spacing w:after="0" w:line="108"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2.</w:t>
        <w:tab/>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purchases of H&amp;R Block common stock during the three months ended March 31, 2026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 except per share amounts)</w:t>
            </w:r>
          </w:p>
        </w:tc>
        <w:tc>
          <w:tcPr>
            <w:tcW w:w="0" w:type="dxa"/>
            <w:vAlign w:val="bottom"/>
          </w:tcPr>
          <w:p>
            <w:pPr>
              <w:spacing w:after="0"/>
              <w:rPr>
                <w:sz w:val="1"/>
                <w:szCs w:val="1"/>
                <w:color w:val="auto"/>
              </w:rPr>
            </w:pPr>
          </w:p>
        </w:tc>
      </w:tr>
      <w:tr>
        <w:trPr>
          <w:trHeight w:val="204"/>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Average</w:t>
            </w:r>
          </w:p>
        </w:tc>
        <w:tc>
          <w:tcPr>
            <w:tcW w:w="2460" w:type="dxa"/>
            <w:vAlign w:val="bottom"/>
          </w:tcPr>
          <w:p>
            <w:pPr>
              <w:jc w:val="right"/>
              <w:spacing w:after="0"/>
              <w:rPr>
                <w:sz w:val="20"/>
                <w:szCs w:val="20"/>
                <w:color w:val="auto"/>
              </w:rPr>
            </w:pPr>
            <w:r>
              <w:rPr>
                <w:rFonts w:ascii="Arial" w:cs="Arial" w:eastAsia="Arial" w:hAnsi="Arial"/>
                <w:sz w:val="15"/>
                <w:szCs w:val="15"/>
                <w:color w:val="auto"/>
              </w:rPr>
              <w:t>Total Number of Shares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5"/>
                <w:szCs w:val="15"/>
                <w:color w:val="auto"/>
              </w:rPr>
              <w:t>Maximum Dollar Value of</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5"/>
                <w:szCs w:val="15"/>
                <w:color w:val="auto"/>
              </w:rPr>
              <w:t>Total Number of</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460" w:type="dxa"/>
            <w:vAlign w:val="bottom"/>
          </w:tcPr>
          <w:p>
            <w:pPr>
              <w:jc w:val="right"/>
              <w:spacing w:after="0" w:line="155" w:lineRule="exact"/>
              <w:rPr>
                <w:sz w:val="20"/>
                <w:szCs w:val="20"/>
                <w:color w:val="auto"/>
              </w:rPr>
            </w:pPr>
            <w:r>
              <w:rPr>
                <w:rFonts w:ascii="Arial" w:cs="Arial" w:eastAsia="Arial" w:hAnsi="Arial"/>
                <w:sz w:val="15"/>
                <w:szCs w:val="15"/>
                <w:color w:val="auto"/>
              </w:rPr>
              <w:t>Purchased as Part of</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tcPr>
          <w:p>
            <w:pPr>
              <w:jc w:val="right"/>
              <w:spacing w:after="0" w:line="155" w:lineRule="exact"/>
              <w:rPr>
                <w:sz w:val="20"/>
                <w:szCs w:val="20"/>
                <w:color w:val="auto"/>
              </w:rPr>
            </w:pPr>
            <w:r>
              <w:rPr>
                <w:rFonts w:ascii="Arial" w:cs="Arial" w:eastAsia="Arial" w:hAnsi="Arial"/>
                <w:sz w:val="15"/>
                <w:szCs w:val="15"/>
                <w:color w:val="auto"/>
              </w:rPr>
              <w:t>Shares that May Yet Be</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00"/>
              <w:spacing w:after="0" w:line="155" w:lineRule="exact"/>
              <w:rPr>
                <w:sz w:val="20"/>
                <w:szCs w:val="20"/>
                <w:color w:val="auto"/>
              </w:rPr>
            </w:pPr>
            <w:r>
              <w:rPr>
                <w:rFonts w:ascii="Arial" w:cs="Arial" w:eastAsia="Arial" w:hAnsi="Arial"/>
                <w:sz w:val="15"/>
                <w:szCs w:val="15"/>
                <w:color w:val="auto"/>
              </w:rPr>
              <w:t>Price Paid</w:t>
            </w:r>
          </w:p>
        </w:tc>
        <w:tc>
          <w:tcPr>
            <w:tcW w:w="2460" w:type="dxa"/>
            <w:vAlign w:val="bottom"/>
          </w:tcPr>
          <w:p>
            <w:pPr>
              <w:ind w:left="600"/>
              <w:spacing w:after="0" w:line="155" w:lineRule="exact"/>
              <w:rPr>
                <w:sz w:val="20"/>
                <w:szCs w:val="20"/>
                <w:color w:val="auto"/>
              </w:rPr>
            </w:pPr>
            <w:r>
              <w:rPr>
                <w:rFonts w:ascii="Arial" w:cs="Arial" w:eastAsia="Arial" w:hAnsi="Arial"/>
                <w:sz w:val="15"/>
                <w:szCs w:val="15"/>
                <w:color w:val="auto"/>
              </w:rPr>
              <w:t>Publicly Announced Plans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tcPr>
          <w:p>
            <w:pPr>
              <w:jc w:val="right"/>
              <w:spacing w:after="0" w:line="155" w:lineRule="exact"/>
              <w:rPr>
                <w:sz w:val="20"/>
                <w:szCs w:val="20"/>
                <w:color w:val="auto"/>
              </w:rPr>
            </w:pPr>
            <w:r>
              <w:rPr>
                <w:rFonts w:ascii="Arial" w:cs="Arial" w:eastAsia="Arial" w:hAnsi="Arial"/>
                <w:sz w:val="15"/>
                <w:szCs w:val="15"/>
                <w:color w:val="auto"/>
              </w:rPr>
              <w:t>Purchased Under the Plans</w:t>
            </w:r>
          </w:p>
        </w:tc>
        <w:tc>
          <w:tcPr>
            <w:tcW w:w="0" w:type="dxa"/>
            <w:vAlign w:val="bottom"/>
          </w:tcPr>
          <w:p>
            <w:pPr>
              <w:spacing w:after="0"/>
              <w:rPr>
                <w:sz w:val="1"/>
                <w:szCs w:val="1"/>
                <w:color w:val="auto"/>
              </w:rPr>
            </w:pPr>
          </w:p>
        </w:tc>
      </w:tr>
      <w:tr>
        <w:trPr>
          <w:trHeight w:val="206"/>
        </w:trPr>
        <w:tc>
          <w:tcPr>
            <w:tcW w:w="2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5"/>
                <w:szCs w:val="15"/>
                <w:color w:val="auto"/>
              </w:rPr>
              <w:t xml:space="preserve">Shares Purchased </w:t>
            </w:r>
            <w:r>
              <w:rPr>
                <w:rFonts w:ascii="Arial" w:cs="Arial" w:eastAsia="Arial" w:hAnsi="Arial"/>
                <w:sz w:val="20"/>
                <w:szCs w:val="20"/>
                <w:color w:val="auto"/>
                <w:vertAlign w:val="superscript"/>
              </w:rPr>
              <w:t>(1)</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per Share</w:t>
            </w:r>
          </w:p>
        </w:tc>
        <w:tc>
          <w:tcPr>
            <w:tcW w:w="80" w:type="dxa"/>
            <w:vAlign w:val="bottom"/>
          </w:tcPr>
          <w:p>
            <w:pPr>
              <w:spacing w:after="0"/>
              <w:rPr>
                <w:sz w:val="17"/>
                <w:szCs w:val="17"/>
                <w:color w:val="auto"/>
              </w:rPr>
            </w:pPr>
          </w:p>
        </w:tc>
        <w:tc>
          <w:tcPr>
            <w:tcW w:w="24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0"/>
                <w:szCs w:val="20"/>
                <w:color w:val="auto"/>
                <w:vertAlign w:val="superscript"/>
              </w:rPr>
              <w:t>(2)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199"/>
        </w:trPr>
        <w:tc>
          <w:tcPr>
            <w:tcW w:w="2780" w:type="dxa"/>
            <w:vAlign w:val="bottom"/>
            <w:gridSpan w:val="2"/>
          </w:tcPr>
          <w:p>
            <w:pPr>
              <w:ind w:left="20"/>
              <w:spacing w:after="0"/>
              <w:rPr>
                <w:sz w:val="20"/>
                <w:szCs w:val="20"/>
                <w:color w:val="auto"/>
              </w:rPr>
            </w:pPr>
            <w:r>
              <w:rPr>
                <w:rFonts w:ascii="Arial" w:cs="Arial" w:eastAsia="Arial" w:hAnsi="Arial"/>
                <w:sz w:val="15"/>
                <w:szCs w:val="15"/>
                <w:color w:val="auto"/>
              </w:rPr>
              <w:t>January 1 - January 31</w:t>
            </w:r>
          </w:p>
        </w:tc>
        <w:tc>
          <w:tcPr>
            <w:tcW w:w="1920" w:type="dxa"/>
            <w:vAlign w:val="bottom"/>
          </w:tcPr>
          <w:p>
            <w:pPr>
              <w:jc w:val="right"/>
              <w:ind w:right="3"/>
              <w:spacing w:after="0"/>
              <w:rPr>
                <w:sz w:val="20"/>
                <w:szCs w:val="20"/>
                <w:color w:val="auto"/>
              </w:rPr>
            </w:pPr>
            <w:r>
              <w:rPr>
                <w:rFonts w:ascii="Arial" w:cs="Arial" w:eastAsia="Arial" w:hAnsi="Arial"/>
                <w:sz w:val="15"/>
                <w:szCs w:val="15"/>
                <w:b w:val="1"/>
                <w:bCs w:val="1"/>
                <w:color w:val="auto"/>
              </w:rPr>
              <w:t>1</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b w:val="1"/>
                <w:bCs w:val="1"/>
                <w:color w:val="auto"/>
              </w:rPr>
              <w:t>41.87</w:t>
            </w:r>
          </w:p>
        </w:tc>
        <w:tc>
          <w:tcPr>
            <w:tcW w:w="80" w:type="dxa"/>
            <w:vAlign w:val="bottom"/>
          </w:tcPr>
          <w:p>
            <w:pPr>
              <w:spacing w:after="0"/>
              <w:rPr>
                <w:sz w:val="17"/>
                <w:szCs w:val="17"/>
                <w:color w:val="auto"/>
              </w:rPr>
            </w:pPr>
          </w:p>
        </w:tc>
        <w:tc>
          <w:tcPr>
            <w:tcW w:w="2460" w:type="dxa"/>
            <w:vAlign w:val="bottom"/>
          </w:tcPr>
          <w:p>
            <w:pPr>
              <w:ind w:left="22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2420" w:type="dxa"/>
            <w:vAlign w:val="bottom"/>
          </w:tcPr>
          <w:p>
            <w:pPr>
              <w:jc w:val="right"/>
              <w:spacing w:after="0"/>
              <w:rPr>
                <w:sz w:val="20"/>
                <w:szCs w:val="20"/>
                <w:color w:val="auto"/>
              </w:rPr>
            </w:pPr>
            <w:r>
              <w:rPr>
                <w:rFonts w:ascii="Arial" w:cs="Arial" w:eastAsia="Arial" w:hAnsi="Arial"/>
                <w:sz w:val="15"/>
                <w:szCs w:val="15"/>
                <w:b w:val="1"/>
                <w:bCs w:val="1"/>
                <w:color w:val="auto"/>
              </w:rPr>
              <w:t>700,000</w:t>
            </w:r>
          </w:p>
        </w:tc>
        <w:tc>
          <w:tcPr>
            <w:tcW w:w="0" w:type="dxa"/>
            <w:vAlign w:val="bottom"/>
          </w:tcPr>
          <w:p>
            <w:pPr>
              <w:spacing w:after="0"/>
              <w:rPr>
                <w:sz w:val="1"/>
                <w:szCs w:val="1"/>
                <w:color w:val="auto"/>
              </w:rPr>
            </w:pPr>
          </w:p>
        </w:tc>
      </w:tr>
      <w:tr>
        <w:trPr>
          <w:trHeight w:val="20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February 1 - February 28</w:t>
            </w:r>
          </w:p>
        </w:tc>
        <w:tc>
          <w:tcPr>
            <w:tcW w:w="19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30.62</w:t>
            </w:r>
          </w:p>
        </w:tc>
        <w:tc>
          <w:tcPr>
            <w:tcW w:w="80" w:type="dxa"/>
            <w:vAlign w:val="bottom"/>
            <w:shd w:val="clear" w:color="auto" w:fill="CCEEFF"/>
          </w:tcPr>
          <w:p>
            <w:pPr>
              <w:spacing w:after="0"/>
              <w:rPr>
                <w:sz w:val="17"/>
                <w:szCs w:val="17"/>
                <w:color w:val="auto"/>
              </w:rPr>
            </w:pPr>
          </w:p>
        </w:tc>
        <w:tc>
          <w:tcPr>
            <w:tcW w:w="2460" w:type="dxa"/>
            <w:vAlign w:val="bottom"/>
            <w:shd w:val="clear" w:color="auto" w:fill="CCEEFF"/>
          </w:tcPr>
          <w:p>
            <w:pPr>
              <w:ind w:left="2240"/>
              <w:spacing w:after="0"/>
              <w:rPr>
                <w:sz w:val="20"/>
                <w:szCs w:val="20"/>
                <w:color w:val="auto"/>
              </w:rPr>
            </w:pPr>
            <w:r>
              <w:rPr>
                <w:rFonts w:ascii="Arial" w:cs="Arial" w:eastAsia="Arial" w:hAnsi="Arial"/>
                <w:sz w:val="15"/>
                <w:szCs w:val="15"/>
                <w:b w:val="1"/>
                <w:bCs w:val="1"/>
                <w:color w:val="auto"/>
              </w:rPr>
              <w:t>—</w:t>
            </w:r>
          </w:p>
        </w:tc>
        <w:tc>
          <w:tcPr>
            <w:tcW w:w="38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700,000</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March 1 - March 31</w:t>
            </w:r>
          </w:p>
        </w:tc>
        <w:tc>
          <w:tcPr>
            <w:tcW w:w="1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CCEEFF"/>
            </w:tcBorders>
            <w:gridSpan w:val="2"/>
          </w:tcPr>
          <w:p>
            <w:pPr>
              <w:jc w:val="right"/>
              <w:ind w:right="8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460" w:type="dxa"/>
            <w:vAlign w:val="bottom"/>
            <w:tcBorders>
              <w:bottom w:val="single" w:sz="8" w:color="auto"/>
            </w:tcBorders>
          </w:tcPr>
          <w:p>
            <w:pPr>
              <w:ind w:left="2240"/>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CCEEFF"/>
            </w:tcBorders>
            <w:gridSpan w:val="2"/>
          </w:tcPr>
          <w:p>
            <w:pPr>
              <w:jc w:val="right"/>
              <w:ind w:right="123"/>
              <w:spacing w:after="0"/>
              <w:rPr>
                <w:sz w:val="20"/>
                <w:szCs w:val="20"/>
                <w:color w:val="auto"/>
              </w:rPr>
            </w:pPr>
            <w:r>
              <w:rPr>
                <w:rFonts w:ascii="Arial" w:cs="Arial" w:eastAsia="Arial" w:hAnsi="Arial"/>
                <w:sz w:val="15"/>
                <w:szCs w:val="15"/>
                <w:b w:val="1"/>
                <w:bCs w:val="1"/>
                <w:color w:val="auto"/>
              </w:rPr>
              <w:t>$</w:t>
            </w:r>
          </w:p>
        </w:tc>
        <w:tc>
          <w:tcPr>
            <w:tcW w:w="242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700,000</w:t>
            </w:r>
          </w:p>
        </w:tc>
        <w:tc>
          <w:tcPr>
            <w:tcW w:w="0" w:type="dxa"/>
            <w:vAlign w:val="bottom"/>
          </w:tcPr>
          <w:p>
            <w:pPr>
              <w:spacing w:after="0"/>
              <w:rPr>
                <w:sz w:val="1"/>
                <w:szCs w:val="1"/>
                <w:color w:val="auto"/>
              </w:rPr>
            </w:pPr>
          </w:p>
        </w:tc>
      </w:tr>
      <w:tr>
        <w:trPr>
          <w:trHeight w:val="199"/>
        </w:trPr>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w:t>
            </w:r>
          </w:p>
        </w:tc>
        <w:tc>
          <w:tcPr>
            <w:tcW w:w="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41.52</w:t>
            </w:r>
          </w:p>
        </w:tc>
        <w:tc>
          <w:tcPr>
            <w:tcW w:w="80" w:type="dxa"/>
            <w:vAlign w:val="bottom"/>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ind w:left="22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60" w:hanging="157"/>
        <w:spacing w:after="0" w:line="258" w:lineRule="auto"/>
        <w:tabs>
          <w:tab w:leader="none" w:pos="166" w:val="left"/>
        </w:tabs>
        <w:numPr>
          <w:ilvl w:val="0"/>
          <w:numId w:val="20"/>
        </w:numPr>
        <w:rPr>
          <w:rFonts w:ascii="Arial" w:cs="Arial" w:eastAsia="Arial" w:hAnsi="Arial"/>
          <w:sz w:val="9"/>
          <w:szCs w:val="9"/>
          <w:color w:val="auto"/>
        </w:rPr>
      </w:pPr>
      <w:r>
        <w:rPr>
          <w:rFonts w:ascii="Arial" w:cs="Arial" w:eastAsia="Arial" w:hAnsi="Arial"/>
          <w:sz w:val="14"/>
          <w:szCs w:val="14"/>
          <w:color w:val="auto"/>
        </w:rPr>
        <w:t>We purchased approximately 1 thousand shares in connection with funding employee income tax withholding obligations arising upon the lapse of restrictions on restricted share units.</w:t>
      </w:r>
    </w:p>
    <w:p>
      <w:pPr>
        <w:spacing w:after="0" w:line="1" w:lineRule="exact"/>
        <w:rPr>
          <w:rFonts w:ascii="Arial" w:cs="Arial" w:eastAsia="Arial" w:hAnsi="Arial"/>
          <w:sz w:val="9"/>
          <w:szCs w:val="9"/>
          <w:color w:val="auto"/>
        </w:rPr>
      </w:pPr>
    </w:p>
    <w:p>
      <w:pPr>
        <w:ind w:left="160" w:hanging="157"/>
        <w:spacing w:after="0" w:line="195" w:lineRule="auto"/>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On August 15, 2024, we announced that our Board of Directors approved a $1.5 billion share repurchase program. The repurchase program does not have an expiration date.</w:t>
      </w:r>
    </w:p>
    <w:p>
      <w:pPr>
        <w:spacing w:after="0" w:line="75"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3.</w:t>
      </w:r>
      <w:r>
        <w:rPr>
          <w:sz w:val="20"/>
          <w:szCs w:val="20"/>
          <w:color w:val="auto"/>
        </w:rPr>
        <w:tab/>
      </w:r>
      <w:r>
        <w:rPr>
          <w:rFonts w:ascii="Arial" w:cs="Arial" w:eastAsia="Arial" w:hAnsi="Arial"/>
          <w:sz w:val="23"/>
          <w:szCs w:val="23"/>
          <w:b w:val="1"/>
          <w:bCs w:val="1"/>
          <w:color w:val="14AA40"/>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8"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4.</w:t>
        <w:tab/>
        <w:t>MINE SAFETY DISCLOSURES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08"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5.</w:t>
      </w:r>
      <w:r>
        <w:rPr>
          <w:sz w:val="20"/>
          <w:szCs w:val="20"/>
          <w:color w:val="auto"/>
        </w:rPr>
        <w:tab/>
      </w:r>
      <w:r>
        <w:rPr>
          <w:rFonts w:ascii="Arial" w:cs="Arial" w:eastAsia="Arial" w:hAnsi="Arial"/>
          <w:sz w:val="23"/>
          <w:szCs w:val="23"/>
          <w:b w:val="1"/>
          <w:bCs w:val="1"/>
          <w:color w:val="14AA40"/>
        </w:rPr>
        <w:t>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and Section 16 Officer Trading Arrangements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During the three months ended March 31, 2026, no director or Section 16 officer adopted or terminated a "Rule 10b5-1 trading arrangement" or "non-Rule 10b5-1 trading arrangement," as each term is defined in Item 408(a)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578485</wp:posOffset>
            </wp:positionV>
            <wp:extent cx="212725" cy="122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hanging="266"/>
        <w:spacing w:after="0"/>
        <w:tabs>
          <w:tab w:leader="none" w:pos="360" w:val="left"/>
        </w:tabs>
        <w:numPr>
          <w:ilvl w:val="0"/>
          <w:numId w:val="21"/>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0" w:name="page31"/>
    <w:bookmarkEnd w:id="3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940" w:type="dxa"/>
            <w:vAlign w:val="bottom"/>
            <w:gridSpan w:val="4"/>
          </w:tcPr>
          <w:p>
            <w:pPr>
              <w:spacing w:after="0"/>
              <w:rPr>
                <w:sz w:val="20"/>
                <w:szCs w:val="20"/>
                <w:color w:val="auto"/>
              </w:rPr>
            </w:pPr>
            <w:r>
              <w:rPr>
                <w:rFonts w:ascii="Arial" w:cs="Arial" w:eastAsia="Arial" w:hAnsi="Arial"/>
                <w:sz w:val="24"/>
                <w:szCs w:val="24"/>
                <w:b w:val="1"/>
                <w:bCs w:val="1"/>
                <w:color w:val="14AA40"/>
              </w:rPr>
              <w:t>ITEM 6.</w:t>
            </w:r>
          </w:p>
        </w:tc>
        <w:tc>
          <w:tcPr>
            <w:tcW w:w="120" w:type="dxa"/>
            <w:vAlign w:val="bottom"/>
          </w:tcPr>
          <w:p>
            <w:pPr>
              <w:spacing w:after="0"/>
              <w:rPr>
                <w:sz w:val="24"/>
                <w:szCs w:val="24"/>
                <w:color w:val="auto"/>
              </w:rPr>
            </w:pPr>
          </w:p>
        </w:tc>
        <w:tc>
          <w:tcPr>
            <w:tcW w:w="10040" w:type="dxa"/>
            <w:vAlign w:val="bottom"/>
            <w:gridSpan w:val="4"/>
          </w:tcPr>
          <w:p>
            <w:pPr>
              <w:ind w:left="60"/>
              <w:spacing w:after="0"/>
              <w:rPr>
                <w:sz w:val="20"/>
                <w:szCs w:val="20"/>
                <w:color w:val="auto"/>
              </w:rPr>
            </w:pPr>
            <w:r>
              <w:rPr>
                <w:rFonts w:ascii="Arial" w:cs="Arial" w:eastAsia="Arial" w:hAnsi="Arial"/>
                <w:sz w:val="24"/>
                <w:szCs w:val="24"/>
                <w:b w:val="1"/>
                <w:bCs w:val="1"/>
                <w:color w:val="14AA40"/>
              </w:rPr>
              <w:t>EXHIBITS</w:t>
            </w:r>
          </w:p>
        </w:tc>
      </w:tr>
      <w:tr>
        <w:trPr>
          <w:trHeight w:val="235"/>
        </w:trPr>
        <w:tc>
          <w:tcPr>
            <w:tcW w:w="11100" w:type="dxa"/>
            <w:vAlign w:val="bottom"/>
            <w:gridSpan w:val="9"/>
          </w:tcPr>
          <w:p>
            <w:pPr>
              <w:spacing w:after="0"/>
              <w:rPr>
                <w:sz w:val="20"/>
                <w:szCs w:val="20"/>
                <w:color w:val="auto"/>
              </w:rPr>
            </w:pPr>
            <w:r>
              <w:rPr>
                <w:rFonts w:ascii="Arial" w:cs="Arial" w:eastAsia="Arial" w:hAnsi="Arial"/>
                <w:sz w:val="17"/>
                <w:szCs w:val="17"/>
                <w:color w:val="auto"/>
              </w:rPr>
              <w:t>The following exhibits are numbered in accordance with the Exhibit Table of Item 601 of Regulation S-K:</w:t>
            </w:r>
          </w:p>
        </w:tc>
      </w:tr>
      <w:tr>
        <w:trPr>
          <w:trHeight w:val="204"/>
        </w:trPr>
        <w:tc>
          <w:tcPr>
            <w:tcW w:w="360" w:type="dxa"/>
            <w:vAlign w:val="bottom"/>
            <w:gridSpan w:val="3"/>
          </w:tcPr>
          <w:p>
            <w:pPr>
              <w:ind w:left="20"/>
              <w:spacing w:after="0"/>
              <w:rPr>
                <w:sz w:val="20"/>
                <w:szCs w:val="20"/>
                <w:color w:val="auto"/>
              </w:rPr>
            </w:pPr>
            <w:r>
              <w:rPr>
                <w:rFonts w:ascii="Arial" w:cs="Arial" w:eastAsia="Arial" w:hAnsi="Arial"/>
                <w:sz w:val="17"/>
                <w:szCs w:val="17"/>
                <w:color w:val="0000FF"/>
              </w:rPr>
              <w:t>22</w:t>
            </w:r>
          </w:p>
        </w:tc>
        <w:tc>
          <w:tcPr>
            <w:tcW w:w="580" w:type="dxa"/>
            <w:vAlign w:val="bottom"/>
          </w:tcPr>
          <w:p>
            <w:pPr>
              <w:spacing w:after="0"/>
              <w:rPr>
                <w:sz w:val="17"/>
                <w:szCs w:val="17"/>
                <w:color w:val="auto"/>
              </w:rPr>
            </w:pPr>
          </w:p>
        </w:tc>
        <w:tc>
          <w:tcPr>
            <w:tcW w:w="10160" w:type="dxa"/>
            <w:vAlign w:val="bottom"/>
            <w:gridSpan w:val="5"/>
          </w:tcPr>
          <w:p>
            <w:pPr>
              <w:ind w:left="120"/>
              <w:spacing w:after="0"/>
              <w:rPr>
                <w:sz w:val="20"/>
                <w:szCs w:val="20"/>
                <w:color w:val="auto"/>
              </w:rPr>
            </w:pPr>
            <w:r>
              <w:rPr>
                <w:rFonts w:ascii="Arial" w:cs="Arial" w:eastAsia="Arial" w:hAnsi="Arial"/>
                <w:sz w:val="17"/>
                <w:szCs w:val="17"/>
                <w:color w:val="0000FF"/>
              </w:rPr>
              <w:t>List of Guarantor and Issuer Subsidiaries</w:t>
            </w:r>
            <w:r>
              <w:rPr>
                <w:rFonts w:ascii="Arial" w:cs="Arial" w:eastAsia="Arial" w:hAnsi="Arial"/>
                <w:sz w:val="17"/>
                <w:szCs w:val="17"/>
                <w:color w:val="000000"/>
              </w:rPr>
              <w:t>.</w:t>
            </w:r>
          </w:p>
        </w:tc>
      </w:tr>
      <w:tr>
        <w:trPr>
          <w:trHeight w:val="44"/>
        </w:trPr>
        <w:tc>
          <w:tcPr>
            <w:tcW w:w="2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00" w:type="dxa"/>
            <w:vAlign w:val="bottom"/>
            <w:tcBorders>
              <w:top w:val="single" w:sz="8" w:color="0000FF"/>
            </w:tcBorders>
          </w:tcPr>
          <w:p>
            <w:pPr>
              <w:spacing w:after="0"/>
              <w:rPr>
                <w:sz w:val="3"/>
                <w:szCs w:val="3"/>
                <w:color w:val="auto"/>
              </w:rPr>
            </w:pPr>
          </w:p>
        </w:tc>
        <w:tc>
          <w:tcPr>
            <w:tcW w:w="43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80"/>
        </w:trPr>
        <w:tc>
          <w:tcPr>
            <w:tcW w:w="20" w:type="dxa"/>
            <w:vAlign w:val="bottom"/>
            <w:shd w:val="clear" w:color="auto" w:fill="BFE4FF"/>
          </w:tcPr>
          <w:p>
            <w:pPr>
              <w:spacing w:after="0"/>
              <w:rPr>
                <w:sz w:val="15"/>
                <w:szCs w:val="15"/>
                <w:color w:val="auto"/>
              </w:rPr>
            </w:pPr>
          </w:p>
        </w:tc>
        <w:tc>
          <w:tcPr>
            <w:tcW w:w="340" w:type="dxa"/>
            <w:vAlign w:val="bottom"/>
            <w:gridSpan w:val="2"/>
            <w:shd w:val="clear" w:color="auto" w:fill="BFE4FF"/>
          </w:tcPr>
          <w:p>
            <w:pPr>
              <w:spacing w:after="0" w:line="180" w:lineRule="exact"/>
              <w:rPr>
                <w:sz w:val="20"/>
                <w:szCs w:val="20"/>
                <w:color w:val="auto"/>
              </w:rPr>
            </w:pPr>
            <w:r>
              <w:rPr>
                <w:rFonts w:ascii="Arial" w:cs="Arial" w:eastAsia="Arial" w:hAnsi="Arial"/>
                <w:sz w:val="17"/>
                <w:szCs w:val="17"/>
                <w:color w:val="0000FF"/>
                <w:w w:val="96"/>
              </w:rPr>
              <w:t>31.</w:t>
            </w:r>
            <w:r>
              <w:rPr>
                <w:rFonts w:ascii="Arial" w:cs="Arial" w:eastAsia="Arial" w:hAnsi="Arial"/>
                <w:sz w:val="17"/>
                <w:szCs w:val="17"/>
                <w:u w:val="single" w:color="auto"/>
                <w:color w:val="0000FF"/>
                <w:w w:val="96"/>
              </w:rPr>
              <w:t>1</w:t>
            </w:r>
          </w:p>
        </w:tc>
        <w:tc>
          <w:tcPr>
            <w:tcW w:w="580" w:type="dxa"/>
            <w:vAlign w:val="bottom"/>
            <w:shd w:val="clear" w:color="auto" w:fill="BFE4FF"/>
          </w:tcPr>
          <w:p>
            <w:pPr>
              <w:spacing w:after="0"/>
              <w:rPr>
                <w:sz w:val="15"/>
                <w:szCs w:val="15"/>
                <w:color w:val="auto"/>
              </w:rPr>
            </w:pPr>
          </w:p>
        </w:tc>
        <w:tc>
          <w:tcPr>
            <w:tcW w:w="10160" w:type="dxa"/>
            <w:vAlign w:val="bottom"/>
            <w:gridSpan w:val="5"/>
            <w:shd w:val="clear" w:color="auto" w:fill="BFE4FF"/>
          </w:tcPr>
          <w:p>
            <w:pPr>
              <w:ind w:left="120"/>
              <w:spacing w:after="0" w:line="180" w:lineRule="exact"/>
              <w:rPr>
                <w:sz w:val="20"/>
                <w:szCs w:val="20"/>
                <w:color w:val="auto"/>
              </w:rPr>
            </w:pPr>
            <w:r>
              <w:rPr>
                <w:rFonts w:ascii="Arial" w:cs="Arial" w:eastAsia="Arial" w:hAnsi="Arial"/>
                <w:sz w:val="17"/>
                <w:szCs w:val="17"/>
                <w:color w:val="0000FF"/>
              </w:rPr>
              <w:t>Certification by Chief Executive Officer pursuant to Section 302 of the Sarbanes-Oxley Act of 2002.</w:t>
            </w:r>
          </w:p>
        </w:tc>
      </w:tr>
      <w:tr>
        <w:trPr>
          <w:trHeight w:val="39"/>
        </w:trPr>
        <w:tc>
          <w:tcPr>
            <w:tcW w:w="20" w:type="dxa"/>
            <w:vAlign w:val="bottom"/>
            <w:shd w:val="clear" w:color="auto" w:fill="BFE4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BFE4FF"/>
          </w:tcPr>
          <w:p>
            <w:pPr>
              <w:spacing w:after="0"/>
              <w:rPr>
                <w:sz w:val="3"/>
                <w:szCs w:val="3"/>
                <w:color w:val="auto"/>
              </w:rPr>
            </w:pPr>
          </w:p>
        </w:tc>
        <w:tc>
          <w:tcPr>
            <w:tcW w:w="120" w:type="dxa"/>
            <w:vAlign w:val="bottom"/>
            <w:shd w:val="clear" w:color="auto" w:fill="BFE4FF"/>
          </w:tcPr>
          <w:p>
            <w:pPr>
              <w:spacing w:after="0"/>
              <w:rPr>
                <w:sz w:val="3"/>
                <w:szCs w:val="3"/>
                <w:color w:val="auto"/>
              </w:rPr>
            </w:pPr>
          </w:p>
        </w:tc>
        <w:tc>
          <w:tcPr>
            <w:tcW w:w="3100" w:type="dxa"/>
            <w:vAlign w:val="bottom"/>
            <w:shd w:val="clear" w:color="auto" w:fill="0000FF"/>
          </w:tcPr>
          <w:p>
            <w:pPr>
              <w:spacing w:after="0"/>
              <w:rPr>
                <w:sz w:val="3"/>
                <w:szCs w:val="3"/>
                <w:color w:val="auto"/>
              </w:rPr>
            </w:pPr>
          </w:p>
        </w:tc>
        <w:tc>
          <w:tcPr>
            <w:tcW w:w="4340" w:type="dxa"/>
            <w:vAlign w:val="bottom"/>
            <w:shd w:val="clear" w:color="auto" w:fill="0000FF"/>
          </w:tcPr>
          <w:p>
            <w:pPr>
              <w:spacing w:after="0"/>
              <w:rPr>
                <w:sz w:val="3"/>
                <w:szCs w:val="3"/>
                <w:color w:val="auto"/>
              </w:rPr>
            </w:pPr>
          </w:p>
        </w:tc>
        <w:tc>
          <w:tcPr>
            <w:tcW w:w="2400" w:type="dxa"/>
            <w:vAlign w:val="bottom"/>
            <w:tcBorders>
              <w:left w:val="single" w:sz="8" w:color="0000FF"/>
            </w:tcBorders>
            <w:shd w:val="clear" w:color="auto" w:fill="BFE4FF"/>
          </w:tcPr>
          <w:p>
            <w:pPr>
              <w:spacing w:after="0"/>
              <w:rPr>
                <w:sz w:val="3"/>
                <w:szCs w:val="3"/>
                <w:color w:val="auto"/>
              </w:rPr>
            </w:pPr>
          </w:p>
        </w:tc>
        <w:tc>
          <w:tcPr>
            <w:tcW w:w="200" w:type="dxa"/>
            <w:vAlign w:val="bottom"/>
            <w:tcBorders>
              <w:left w:val="single" w:sz="8" w:color="BFE4FF"/>
            </w:tcBorders>
            <w:shd w:val="clear" w:color="auto" w:fill="BFE4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340" w:type="dxa"/>
            <w:vAlign w:val="bottom"/>
            <w:gridSpan w:val="2"/>
          </w:tcPr>
          <w:p>
            <w:pPr>
              <w:spacing w:after="0" w:line="180" w:lineRule="exact"/>
              <w:rPr>
                <w:sz w:val="20"/>
                <w:szCs w:val="20"/>
                <w:color w:val="auto"/>
              </w:rPr>
            </w:pPr>
            <w:r>
              <w:rPr>
                <w:rFonts w:ascii="Arial" w:cs="Arial" w:eastAsia="Arial" w:hAnsi="Arial"/>
                <w:sz w:val="17"/>
                <w:szCs w:val="17"/>
                <w:color w:val="0000FF"/>
                <w:w w:val="96"/>
              </w:rPr>
              <w:t>31.</w:t>
            </w:r>
            <w:r>
              <w:rPr>
                <w:rFonts w:ascii="Arial" w:cs="Arial" w:eastAsia="Arial" w:hAnsi="Arial"/>
                <w:sz w:val="17"/>
                <w:szCs w:val="17"/>
                <w:u w:val="single" w:color="auto"/>
                <w:color w:val="0000FF"/>
                <w:w w:val="96"/>
              </w:rPr>
              <w:t>2</w:t>
            </w:r>
          </w:p>
        </w:tc>
        <w:tc>
          <w:tcPr>
            <w:tcW w:w="580" w:type="dxa"/>
            <w:vAlign w:val="bottom"/>
          </w:tcPr>
          <w:p>
            <w:pPr>
              <w:spacing w:after="0"/>
              <w:rPr>
                <w:sz w:val="15"/>
                <w:szCs w:val="15"/>
                <w:color w:val="auto"/>
              </w:rPr>
            </w:pPr>
          </w:p>
        </w:tc>
        <w:tc>
          <w:tcPr>
            <w:tcW w:w="10160" w:type="dxa"/>
            <w:vAlign w:val="bottom"/>
            <w:gridSpan w:val="5"/>
          </w:tcPr>
          <w:p>
            <w:pPr>
              <w:ind w:left="120"/>
              <w:spacing w:after="0" w:line="180" w:lineRule="exact"/>
              <w:rPr>
                <w:sz w:val="20"/>
                <w:szCs w:val="20"/>
                <w:color w:val="auto"/>
              </w:rPr>
            </w:pPr>
            <w:r>
              <w:rPr>
                <w:rFonts w:ascii="Arial" w:cs="Arial" w:eastAsia="Arial" w:hAnsi="Arial"/>
                <w:sz w:val="17"/>
                <w:szCs w:val="17"/>
                <w:color w:val="0000FF"/>
              </w:rPr>
              <w:t>Certification by Chief Financial Officer pursuant to Section 302 of the Sarbanes-Oxley Act of 2002.</w:t>
            </w:r>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shd w:val="clear" w:color="auto" w:fill="0000FF"/>
          </w:tcPr>
          <w:p>
            <w:pPr>
              <w:spacing w:after="0"/>
              <w:rPr>
                <w:sz w:val="2"/>
                <w:szCs w:val="2"/>
                <w:color w:val="auto"/>
              </w:rPr>
            </w:pPr>
          </w:p>
        </w:tc>
        <w:tc>
          <w:tcPr>
            <w:tcW w:w="4340" w:type="dxa"/>
            <w:vAlign w:val="bottom"/>
            <w:shd w:val="clear" w:color="auto" w:fill="0000FF"/>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0"/>
        </w:trPr>
        <w:tc>
          <w:tcPr>
            <w:tcW w:w="20" w:type="dxa"/>
            <w:vAlign w:val="bottom"/>
            <w:shd w:val="clear" w:color="auto" w:fill="BFE4FF"/>
          </w:tcPr>
          <w:p>
            <w:pPr>
              <w:spacing w:after="0"/>
              <w:rPr>
                <w:sz w:val="16"/>
                <w:szCs w:val="16"/>
                <w:color w:val="auto"/>
              </w:rPr>
            </w:pPr>
          </w:p>
        </w:tc>
        <w:tc>
          <w:tcPr>
            <w:tcW w:w="340" w:type="dxa"/>
            <w:vAlign w:val="bottom"/>
            <w:gridSpan w:val="2"/>
            <w:shd w:val="clear" w:color="auto" w:fill="BFE4FF"/>
          </w:tcPr>
          <w:p>
            <w:pPr>
              <w:spacing w:after="0" w:line="190" w:lineRule="exact"/>
              <w:rPr>
                <w:sz w:val="20"/>
                <w:szCs w:val="20"/>
                <w:color w:val="auto"/>
              </w:rPr>
            </w:pPr>
            <w:r>
              <w:rPr>
                <w:rFonts w:ascii="Arial" w:cs="Arial" w:eastAsia="Arial" w:hAnsi="Arial"/>
                <w:sz w:val="17"/>
                <w:szCs w:val="17"/>
                <w:color w:val="0000FF"/>
                <w:w w:val="96"/>
              </w:rPr>
              <w:t>32.</w:t>
            </w:r>
            <w:r>
              <w:rPr>
                <w:rFonts w:ascii="Arial" w:cs="Arial" w:eastAsia="Arial" w:hAnsi="Arial"/>
                <w:sz w:val="17"/>
                <w:szCs w:val="17"/>
                <w:u w:val="single" w:color="auto"/>
                <w:color w:val="0000FF"/>
                <w:w w:val="96"/>
              </w:rPr>
              <w:t>1</w:t>
            </w:r>
          </w:p>
        </w:tc>
        <w:tc>
          <w:tcPr>
            <w:tcW w:w="580" w:type="dxa"/>
            <w:vAlign w:val="bottom"/>
            <w:shd w:val="clear" w:color="auto" w:fill="BFE4FF"/>
          </w:tcPr>
          <w:p>
            <w:pPr>
              <w:spacing w:after="0"/>
              <w:rPr>
                <w:sz w:val="16"/>
                <w:szCs w:val="16"/>
                <w:color w:val="auto"/>
              </w:rPr>
            </w:pPr>
          </w:p>
        </w:tc>
        <w:tc>
          <w:tcPr>
            <w:tcW w:w="10160" w:type="dxa"/>
            <w:vAlign w:val="bottom"/>
            <w:gridSpan w:val="5"/>
            <w:shd w:val="clear" w:color="auto" w:fill="BFE4FF"/>
          </w:tcPr>
          <w:p>
            <w:pPr>
              <w:ind w:left="120"/>
              <w:spacing w:after="0" w:line="190" w:lineRule="exact"/>
              <w:rPr>
                <w:sz w:val="20"/>
                <w:szCs w:val="20"/>
                <w:color w:val="auto"/>
              </w:rPr>
            </w:pPr>
            <w:r>
              <w:rPr>
                <w:rFonts w:ascii="Arial" w:cs="Arial" w:eastAsia="Arial" w:hAnsi="Arial"/>
                <w:sz w:val="17"/>
                <w:szCs w:val="17"/>
                <w:color w:val="0000FF"/>
              </w:rPr>
              <w:t>Certification by Chief Executive Officer pursuant to 18 U.S.C. 1350, as adopted by Section 906 of the Sarbanes-Oxley Act of 2002.</w:t>
            </w:r>
          </w:p>
        </w:tc>
      </w:tr>
      <w:tr>
        <w:trPr>
          <w:trHeight w:val="39"/>
        </w:trPr>
        <w:tc>
          <w:tcPr>
            <w:tcW w:w="20" w:type="dxa"/>
            <w:vAlign w:val="bottom"/>
            <w:shd w:val="clear" w:color="auto" w:fill="BFE4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BFE4FF"/>
          </w:tcPr>
          <w:p>
            <w:pPr>
              <w:spacing w:after="0"/>
              <w:rPr>
                <w:sz w:val="3"/>
                <w:szCs w:val="3"/>
                <w:color w:val="auto"/>
              </w:rPr>
            </w:pPr>
          </w:p>
        </w:tc>
        <w:tc>
          <w:tcPr>
            <w:tcW w:w="120" w:type="dxa"/>
            <w:vAlign w:val="bottom"/>
            <w:shd w:val="clear" w:color="auto" w:fill="BFE4FF"/>
          </w:tcPr>
          <w:p>
            <w:pPr>
              <w:spacing w:after="0"/>
              <w:rPr>
                <w:sz w:val="3"/>
                <w:szCs w:val="3"/>
                <w:color w:val="auto"/>
              </w:rPr>
            </w:pPr>
          </w:p>
        </w:tc>
        <w:tc>
          <w:tcPr>
            <w:tcW w:w="3100" w:type="dxa"/>
            <w:vAlign w:val="bottom"/>
            <w:shd w:val="clear" w:color="auto" w:fill="0000FF"/>
          </w:tcPr>
          <w:p>
            <w:pPr>
              <w:spacing w:after="0"/>
              <w:rPr>
                <w:sz w:val="3"/>
                <w:szCs w:val="3"/>
                <w:color w:val="auto"/>
              </w:rPr>
            </w:pPr>
          </w:p>
        </w:tc>
        <w:tc>
          <w:tcPr>
            <w:tcW w:w="4340" w:type="dxa"/>
            <w:vAlign w:val="bottom"/>
            <w:shd w:val="clear" w:color="auto" w:fill="0000FF"/>
          </w:tcPr>
          <w:p>
            <w:pPr>
              <w:spacing w:after="0"/>
              <w:rPr>
                <w:sz w:val="3"/>
                <w:szCs w:val="3"/>
                <w:color w:val="auto"/>
              </w:rPr>
            </w:pPr>
          </w:p>
        </w:tc>
        <w:tc>
          <w:tcPr>
            <w:tcW w:w="2400" w:type="dxa"/>
            <w:vAlign w:val="bottom"/>
            <w:tcBorders>
              <w:lef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BFE4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340" w:type="dxa"/>
            <w:vAlign w:val="bottom"/>
            <w:gridSpan w:val="2"/>
          </w:tcPr>
          <w:p>
            <w:pPr>
              <w:spacing w:after="0" w:line="180" w:lineRule="exact"/>
              <w:rPr>
                <w:sz w:val="20"/>
                <w:szCs w:val="20"/>
                <w:color w:val="auto"/>
              </w:rPr>
            </w:pPr>
            <w:r>
              <w:rPr>
                <w:rFonts w:ascii="Arial" w:cs="Arial" w:eastAsia="Arial" w:hAnsi="Arial"/>
                <w:sz w:val="17"/>
                <w:szCs w:val="17"/>
                <w:color w:val="0000FF"/>
                <w:w w:val="96"/>
              </w:rPr>
              <w:t>32.</w:t>
            </w:r>
            <w:r>
              <w:rPr>
                <w:rFonts w:ascii="Arial" w:cs="Arial" w:eastAsia="Arial" w:hAnsi="Arial"/>
                <w:sz w:val="17"/>
                <w:szCs w:val="17"/>
                <w:u w:val="single" w:color="auto"/>
                <w:color w:val="0000FF"/>
                <w:w w:val="96"/>
              </w:rPr>
              <w:t>2</w:t>
            </w:r>
          </w:p>
        </w:tc>
        <w:tc>
          <w:tcPr>
            <w:tcW w:w="580" w:type="dxa"/>
            <w:vAlign w:val="bottom"/>
          </w:tcPr>
          <w:p>
            <w:pPr>
              <w:spacing w:after="0"/>
              <w:rPr>
                <w:sz w:val="15"/>
                <w:szCs w:val="15"/>
                <w:color w:val="auto"/>
              </w:rPr>
            </w:pPr>
          </w:p>
        </w:tc>
        <w:tc>
          <w:tcPr>
            <w:tcW w:w="10160" w:type="dxa"/>
            <w:vAlign w:val="bottom"/>
            <w:gridSpan w:val="5"/>
          </w:tcPr>
          <w:p>
            <w:pPr>
              <w:ind w:left="120"/>
              <w:spacing w:after="0" w:line="180" w:lineRule="exact"/>
              <w:rPr>
                <w:sz w:val="20"/>
                <w:szCs w:val="20"/>
                <w:color w:val="auto"/>
              </w:rPr>
            </w:pPr>
            <w:r>
              <w:rPr>
                <w:rFonts w:ascii="Arial" w:cs="Arial" w:eastAsia="Arial" w:hAnsi="Arial"/>
                <w:sz w:val="17"/>
                <w:szCs w:val="17"/>
                <w:color w:val="0000FF"/>
              </w:rPr>
              <w:t>Certification by Chief Financial Officer pursuant to 18 U.S.C. 1350, as adopted by Section 906 of the Sarbanes-Oxley Act of 2002.</w:t>
            </w:r>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shd w:val="clear" w:color="auto" w:fill="0000FF"/>
          </w:tcPr>
          <w:p>
            <w:pPr>
              <w:spacing w:after="0"/>
              <w:rPr>
                <w:sz w:val="2"/>
                <w:szCs w:val="2"/>
                <w:color w:val="auto"/>
              </w:rPr>
            </w:pPr>
          </w:p>
        </w:tc>
        <w:tc>
          <w:tcPr>
            <w:tcW w:w="4340" w:type="dxa"/>
            <w:vAlign w:val="bottom"/>
            <w:shd w:val="clear" w:color="auto" w:fill="0000FF"/>
          </w:tcPr>
          <w:p>
            <w:pPr>
              <w:spacing w:after="0"/>
              <w:rPr>
                <w:sz w:val="2"/>
                <w:szCs w:val="2"/>
                <w:color w:val="auto"/>
              </w:rPr>
            </w:pPr>
          </w:p>
        </w:tc>
        <w:tc>
          <w:tcPr>
            <w:tcW w:w="24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86"/>
        </w:trPr>
        <w:tc>
          <w:tcPr>
            <w:tcW w:w="20" w:type="dxa"/>
            <w:vAlign w:val="bottom"/>
            <w:shd w:val="clear" w:color="auto" w:fill="BFE4FF"/>
          </w:tcPr>
          <w:p>
            <w:pPr>
              <w:spacing w:after="0"/>
              <w:rPr>
                <w:sz w:val="16"/>
                <w:szCs w:val="16"/>
                <w:color w:val="auto"/>
              </w:rPr>
            </w:pPr>
          </w:p>
        </w:tc>
        <w:tc>
          <w:tcPr>
            <w:tcW w:w="920" w:type="dxa"/>
            <w:vAlign w:val="bottom"/>
            <w:gridSpan w:val="3"/>
            <w:shd w:val="clear" w:color="auto" w:fill="BFE4FF"/>
          </w:tcPr>
          <w:p>
            <w:pPr>
              <w:spacing w:after="0" w:line="186" w:lineRule="exact"/>
              <w:rPr>
                <w:sz w:val="20"/>
                <w:szCs w:val="20"/>
                <w:color w:val="auto"/>
              </w:rPr>
            </w:pPr>
            <w:r>
              <w:rPr>
                <w:rFonts w:ascii="Arial" w:cs="Arial" w:eastAsia="Arial" w:hAnsi="Arial"/>
                <w:sz w:val="17"/>
                <w:szCs w:val="17"/>
                <w:color w:val="auto"/>
              </w:rPr>
              <w:t>101.INS</w:t>
            </w:r>
          </w:p>
        </w:tc>
        <w:tc>
          <w:tcPr>
            <w:tcW w:w="10160" w:type="dxa"/>
            <w:vAlign w:val="bottom"/>
            <w:gridSpan w:val="5"/>
            <w:shd w:val="clear" w:color="auto" w:fill="BFE4FF"/>
          </w:tcPr>
          <w:p>
            <w:pPr>
              <w:ind w:left="120"/>
              <w:spacing w:after="0" w:line="186"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23"/>
        </w:trPr>
        <w:tc>
          <w:tcPr>
            <w:tcW w:w="2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10160" w:type="dxa"/>
            <w:vAlign w:val="bottom"/>
            <w:gridSpan w:val="5"/>
            <w:shd w:val="clear" w:color="auto" w:fill="BFE4FF"/>
          </w:tcPr>
          <w:p>
            <w:pPr>
              <w:ind w:left="120"/>
              <w:spacing w:after="0"/>
              <w:rPr>
                <w:sz w:val="20"/>
                <w:szCs w:val="20"/>
                <w:color w:val="auto"/>
              </w:rPr>
            </w:pPr>
            <w:r>
              <w:rPr>
                <w:rFonts w:ascii="Arial" w:cs="Arial" w:eastAsia="Arial" w:hAnsi="Arial"/>
                <w:sz w:val="17"/>
                <w:szCs w:val="17"/>
                <w:color w:val="auto"/>
              </w:rPr>
              <w:t>embedded within the Inline XBRL document</w:t>
            </w:r>
          </w:p>
        </w:tc>
      </w:tr>
      <w:tr>
        <w:trPr>
          <w:trHeight w:val="219"/>
        </w:trPr>
        <w:tc>
          <w:tcPr>
            <w:tcW w:w="940" w:type="dxa"/>
            <w:vAlign w:val="bottom"/>
            <w:gridSpan w:val="4"/>
          </w:tcPr>
          <w:p>
            <w:pPr>
              <w:ind w:left="20"/>
              <w:spacing w:after="0"/>
              <w:rPr>
                <w:sz w:val="20"/>
                <w:szCs w:val="20"/>
                <w:color w:val="auto"/>
              </w:rPr>
            </w:pPr>
            <w:r>
              <w:rPr>
                <w:rFonts w:ascii="Arial" w:cs="Arial" w:eastAsia="Arial" w:hAnsi="Arial"/>
                <w:sz w:val="17"/>
                <w:szCs w:val="17"/>
                <w:color w:val="auto"/>
              </w:rPr>
              <w:t>101.SCH</w:t>
            </w:r>
          </w:p>
        </w:tc>
        <w:tc>
          <w:tcPr>
            <w:tcW w:w="10160" w:type="dxa"/>
            <w:vAlign w:val="bottom"/>
            <w:gridSpan w:val="5"/>
          </w:tcPr>
          <w:p>
            <w:pPr>
              <w:ind w:left="120"/>
              <w:spacing w:after="0"/>
              <w:rPr>
                <w:sz w:val="20"/>
                <w:szCs w:val="20"/>
                <w:color w:val="auto"/>
              </w:rPr>
            </w:pPr>
            <w:r>
              <w:rPr>
                <w:rFonts w:ascii="Arial" w:cs="Arial" w:eastAsia="Arial" w:hAnsi="Arial"/>
                <w:sz w:val="17"/>
                <w:szCs w:val="17"/>
                <w:color w:val="auto"/>
              </w:rPr>
              <w:t>Inline XBRL Taxonomy Extension Schema</w:t>
            </w:r>
          </w:p>
        </w:tc>
      </w:tr>
      <w:tr>
        <w:trPr>
          <w:trHeight w:val="219"/>
        </w:trPr>
        <w:tc>
          <w:tcPr>
            <w:tcW w:w="940" w:type="dxa"/>
            <w:vAlign w:val="bottom"/>
            <w:gridSpan w:val="4"/>
            <w:shd w:val="clear" w:color="auto" w:fill="BFE4FF"/>
          </w:tcPr>
          <w:p>
            <w:pPr>
              <w:ind w:left="20"/>
              <w:spacing w:after="0"/>
              <w:rPr>
                <w:sz w:val="20"/>
                <w:szCs w:val="20"/>
                <w:color w:val="auto"/>
              </w:rPr>
            </w:pPr>
            <w:r>
              <w:rPr>
                <w:rFonts w:ascii="Arial" w:cs="Arial" w:eastAsia="Arial" w:hAnsi="Arial"/>
                <w:sz w:val="17"/>
                <w:szCs w:val="17"/>
                <w:color w:val="auto"/>
              </w:rPr>
              <w:t>101.CAL</w:t>
            </w:r>
          </w:p>
        </w:tc>
        <w:tc>
          <w:tcPr>
            <w:tcW w:w="10160" w:type="dxa"/>
            <w:vAlign w:val="bottom"/>
            <w:gridSpan w:val="5"/>
            <w:shd w:val="clear" w:color="auto" w:fill="BFE4FF"/>
          </w:tcPr>
          <w:p>
            <w:pPr>
              <w:ind w:left="120"/>
              <w:spacing w:after="0"/>
              <w:rPr>
                <w:sz w:val="20"/>
                <w:szCs w:val="20"/>
                <w:color w:val="auto"/>
              </w:rPr>
            </w:pPr>
            <w:r>
              <w:rPr>
                <w:rFonts w:ascii="Arial" w:cs="Arial" w:eastAsia="Arial" w:hAnsi="Arial"/>
                <w:sz w:val="17"/>
                <w:szCs w:val="17"/>
                <w:color w:val="auto"/>
              </w:rPr>
              <w:t>Inline XBRL Extension Calculation Linkbase</w:t>
            </w:r>
          </w:p>
        </w:tc>
      </w:tr>
      <w:tr>
        <w:trPr>
          <w:trHeight w:val="219"/>
        </w:trPr>
        <w:tc>
          <w:tcPr>
            <w:tcW w:w="940" w:type="dxa"/>
            <w:vAlign w:val="bottom"/>
            <w:gridSpan w:val="4"/>
          </w:tcPr>
          <w:p>
            <w:pPr>
              <w:ind w:left="20"/>
              <w:spacing w:after="0"/>
              <w:rPr>
                <w:sz w:val="20"/>
                <w:szCs w:val="20"/>
                <w:color w:val="auto"/>
              </w:rPr>
            </w:pPr>
            <w:r>
              <w:rPr>
                <w:rFonts w:ascii="Arial" w:cs="Arial" w:eastAsia="Arial" w:hAnsi="Arial"/>
                <w:sz w:val="17"/>
                <w:szCs w:val="17"/>
                <w:color w:val="auto"/>
              </w:rPr>
              <w:t>101.LAB</w:t>
            </w:r>
          </w:p>
        </w:tc>
        <w:tc>
          <w:tcPr>
            <w:tcW w:w="10160" w:type="dxa"/>
            <w:vAlign w:val="bottom"/>
            <w:gridSpan w:val="5"/>
          </w:tcPr>
          <w:p>
            <w:pPr>
              <w:ind w:left="120"/>
              <w:spacing w:after="0"/>
              <w:rPr>
                <w:sz w:val="20"/>
                <w:szCs w:val="20"/>
                <w:color w:val="auto"/>
              </w:rPr>
            </w:pPr>
            <w:r>
              <w:rPr>
                <w:rFonts w:ascii="Arial" w:cs="Arial" w:eastAsia="Arial" w:hAnsi="Arial"/>
                <w:sz w:val="17"/>
                <w:szCs w:val="17"/>
                <w:color w:val="auto"/>
              </w:rPr>
              <w:t>Inline XBRL Taxonomy Extension Label Linkbase</w:t>
            </w:r>
          </w:p>
        </w:tc>
      </w:tr>
      <w:tr>
        <w:trPr>
          <w:trHeight w:val="219"/>
        </w:trPr>
        <w:tc>
          <w:tcPr>
            <w:tcW w:w="940" w:type="dxa"/>
            <w:vAlign w:val="bottom"/>
            <w:gridSpan w:val="4"/>
            <w:shd w:val="clear" w:color="auto" w:fill="BFE4FF"/>
          </w:tcPr>
          <w:p>
            <w:pPr>
              <w:ind w:left="20"/>
              <w:spacing w:after="0"/>
              <w:rPr>
                <w:sz w:val="20"/>
                <w:szCs w:val="20"/>
                <w:color w:val="auto"/>
              </w:rPr>
            </w:pPr>
            <w:r>
              <w:rPr>
                <w:rFonts w:ascii="Arial" w:cs="Arial" w:eastAsia="Arial" w:hAnsi="Arial"/>
                <w:sz w:val="17"/>
                <w:szCs w:val="17"/>
                <w:color w:val="auto"/>
              </w:rPr>
              <w:t>101.PRE</w:t>
            </w:r>
          </w:p>
        </w:tc>
        <w:tc>
          <w:tcPr>
            <w:tcW w:w="10160" w:type="dxa"/>
            <w:vAlign w:val="bottom"/>
            <w:gridSpan w:val="5"/>
            <w:shd w:val="clear" w:color="auto" w:fill="BFE4FF"/>
          </w:tcPr>
          <w:p>
            <w:pPr>
              <w:ind w:left="120"/>
              <w:spacing w:after="0"/>
              <w:rPr>
                <w:sz w:val="20"/>
                <w:szCs w:val="20"/>
                <w:color w:val="auto"/>
              </w:rPr>
            </w:pPr>
            <w:r>
              <w:rPr>
                <w:rFonts w:ascii="Arial" w:cs="Arial" w:eastAsia="Arial" w:hAnsi="Arial"/>
                <w:sz w:val="17"/>
                <w:szCs w:val="17"/>
                <w:color w:val="auto"/>
              </w:rPr>
              <w:t>Inline XBRL Taxonomy Extension Presentation Linkbase</w:t>
            </w:r>
          </w:p>
        </w:tc>
      </w:tr>
      <w:tr>
        <w:trPr>
          <w:trHeight w:val="219"/>
        </w:trPr>
        <w:tc>
          <w:tcPr>
            <w:tcW w:w="940" w:type="dxa"/>
            <w:vAlign w:val="bottom"/>
            <w:gridSpan w:val="4"/>
          </w:tcPr>
          <w:p>
            <w:pPr>
              <w:ind w:left="20"/>
              <w:spacing w:after="0"/>
              <w:rPr>
                <w:sz w:val="20"/>
                <w:szCs w:val="20"/>
                <w:color w:val="auto"/>
              </w:rPr>
            </w:pPr>
            <w:r>
              <w:rPr>
                <w:rFonts w:ascii="Arial" w:cs="Arial" w:eastAsia="Arial" w:hAnsi="Arial"/>
                <w:sz w:val="17"/>
                <w:szCs w:val="17"/>
                <w:color w:val="auto"/>
              </w:rPr>
              <w:t>101.DEF</w:t>
            </w:r>
          </w:p>
        </w:tc>
        <w:tc>
          <w:tcPr>
            <w:tcW w:w="10160" w:type="dxa"/>
            <w:vAlign w:val="bottom"/>
            <w:gridSpan w:val="5"/>
          </w:tcPr>
          <w:p>
            <w:pPr>
              <w:ind w:left="120"/>
              <w:spacing w:after="0"/>
              <w:rPr>
                <w:sz w:val="20"/>
                <w:szCs w:val="20"/>
                <w:color w:val="auto"/>
              </w:rPr>
            </w:pPr>
            <w:r>
              <w:rPr>
                <w:rFonts w:ascii="Arial" w:cs="Arial" w:eastAsia="Arial" w:hAnsi="Arial"/>
                <w:sz w:val="17"/>
                <w:szCs w:val="17"/>
                <w:color w:val="auto"/>
              </w:rPr>
              <w:t>Inline XBRL Taxonomy Extension Definition Linkbase</w:t>
            </w:r>
          </w:p>
        </w:tc>
      </w:tr>
      <w:tr>
        <w:trPr>
          <w:trHeight w:val="219"/>
        </w:trPr>
        <w:tc>
          <w:tcPr>
            <w:tcW w:w="360" w:type="dxa"/>
            <w:vAlign w:val="bottom"/>
            <w:gridSpan w:val="3"/>
            <w:shd w:val="clear" w:color="auto" w:fill="BFE4FF"/>
          </w:tcPr>
          <w:p>
            <w:pPr>
              <w:ind w:left="20"/>
              <w:spacing w:after="0"/>
              <w:rPr>
                <w:sz w:val="20"/>
                <w:szCs w:val="20"/>
                <w:color w:val="auto"/>
              </w:rPr>
            </w:pPr>
            <w:r>
              <w:rPr>
                <w:rFonts w:ascii="Arial" w:cs="Arial" w:eastAsia="Arial" w:hAnsi="Arial"/>
                <w:sz w:val="17"/>
                <w:szCs w:val="17"/>
                <w:color w:val="auto"/>
              </w:rPr>
              <w:t>104</w:t>
            </w:r>
          </w:p>
        </w:tc>
        <w:tc>
          <w:tcPr>
            <w:tcW w:w="580" w:type="dxa"/>
            <w:vAlign w:val="bottom"/>
            <w:shd w:val="clear" w:color="auto" w:fill="BFE4FF"/>
          </w:tcPr>
          <w:p>
            <w:pPr>
              <w:spacing w:after="0"/>
              <w:rPr>
                <w:sz w:val="19"/>
                <w:szCs w:val="19"/>
                <w:color w:val="auto"/>
              </w:rPr>
            </w:pPr>
          </w:p>
        </w:tc>
        <w:tc>
          <w:tcPr>
            <w:tcW w:w="10160" w:type="dxa"/>
            <w:vAlign w:val="bottom"/>
            <w:gridSpan w:val="5"/>
            <w:shd w:val="clear" w:color="auto" w:fill="BFE4FF"/>
          </w:tcPr>
          <w:p>
            <w:pPr>
              <w:ind w:left="12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662940</wp:posOffset>
            </wp:positionV>
            <wp:extent cx="220980" cy="1225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31" w:name="page32"/>
    <w:bookmarkEnd w:id="3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H&amp;R BLOCK, INC.</w:t>
      </w:r>
    </w:p>
    <w:p>
      <w:pPr>
        <w:spacing w:after="0" w:line="282"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Curtis A.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17780</wp:posOffset>
            </wp:positionV>
            <wp:extent cx="26358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Curtis A. Campbell</w:t>
      </w:r>
    </w:p>
    <w:p>
      <w:pPr>
        <w:spacing w:after="0" w:line="30"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President and Chief Executive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May 6, 2026</w:t>
      </w:r>
    </w:p>
    <w:p>
      <w:pPr>
        <w:spacing w:after="0" w:line="275"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Tiffany L.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17780</wp:posOffset>
            </wp:positionV>
            <wp:extent cx="26358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Tiffany L. Mason</w:t>
      </w:r>
    </w:p>
    <w:p>
      <w:pPr>
        <w:spacing w:after="0" w:line="30"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May 6, 2026</w:t>
      </w:r>
    </w:p>
    <w:p>
      <w:pPr>
        <w:spacing w:after="0" w:line="275"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April M. Wasleski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17780</wp:posOffset>
            </wp:positionV>
            <wp:extent cx="26358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April M. Wasleski</w:t>
      </w:r>
    </w:p>
    <w:p>
      <w:pPr>
        <w:spacing w:after="0" w:line="30"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Chief Accounting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889635</wp:posOffset>
            </wp:positionV>
            <wp:extent cx="212725" cy="122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hanging="266"/>
        <w:spacing w:after="0"/>
        <w:tabs>
          <w:tab w:leader="none" w:pos="360" w:val="left"/>
        </w:tabs>
        <w:numPr>
          <w:ilvl w:val="0"/>
          <w:numId w:val="22"/>
        </w:numPr>
        <w:rPr>
          <w:rFonts w:ascii="Arial" w:cs="Arial" w:eastAsia="Arial" w:hAnsi="Arial"/>
          <w:sz w:val="14"/>
          <w:szCs w:val="14"/>
          <w:color w:val="FFFFFF"/>
          <w:highlight w:val="black"/>
        </w:rPr>
      </w:pPr>
      <w:r>
        <w:rPr>
          <w:rFonts w:ascii="Arial" w:cs="Arial" w:eastAsia="Arial" w:hAnsi="Arial"/>
          <w:sz w:val="14"/>
          <w:szCs w:val="14"/>
          <w:color w:val="auto"/>
        </w:rPr>
        <w:t xml:space="preserve">Q3 FY2026 Form 10-Q|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3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 OF GUARANTOR AND ISSUER SUBSIDIARIES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2026, H&amp;R Block, Inc. was the guarantor and Block Financial LLC was the issuer of the following:</w:t>
      </w:r>
    </w:p>
    <w:p>
      <w:pPr>
        <w:spacing w:after="0" w:line="243" w:lineRule="exact"/>
        <w:rPr>
          <w:sz w:val="20"/>
          <w:szCs w:val="20"/>
          <w:color w:val="auto"/>
        </w:rPr>
      </w:pPr>
    </w:p>
    <w:p>
      <w:pPr>
        <w:ind w:left="600" w:hanging="28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Senior Notes, 2.500%, due July 2028</w:t>
      </w:r>
    </w:p>
    <w:p>
      <w:pPr>
        <w:spacing w:after="0" w:line="26" w:lineRule="exact"/>
        <w:rPr>
          <w:rFonts w:ascii="Arial" w:cs="Arial" w:eastAsia="Arial" w:hAnsi="Arial"/>
          <w:sz w:val="17"/>
          <w:szCs w:val="17"/>
          <w:color w:val="auto"/>
        </w:rPr>
      </w:pPr>
    </w:p>
    <w:p>
      <w:pPr>
        <w:ind w:left="600" w:hanging="28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Senior Notes, 3.875%, due August 2030</w:t>
      </w:r>
    </w:p>
    <w:p>
      <w:pPr>
        <w:spacing w:after="0" w:line="10" w:lineRule="exact"/>
        <w:rPr>
          <w:rFonts w:ascii="Arial" w:cs="Arial" w:eastAsia="Arial" w:hAnsi="Arial"/>
          <w:sz w:val="17"/>
          <w:szCs w:val="17"/>
          <w:color w:val="auto"/>
        </w:rPr>
      </w:pPr>
    </w:p>
    <w:p>
      <w:pPr>
        <w:ind w:left="600" w:hanging="28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Senior Notes, 5.375%, due September 2032</w:t>
      </w:r>
    </w:p>
    <w:p>
      <w:pPr>
        <w:spacing w:after="0" w:line="10" w:lineRule="exact"/>
        <w:rPr>
          <w:rFonts w:ascii="Arial" w:cs="Arial" w:eastAsia="Arial" w:hAnsi="Arial"/>
          <w:sz w:val="17"/>
          <w:szCs w:val="17"/>
          <w:color w:val="auto"/>
        </w:rPr>
      </w:pPr>
    </w:p>
    <w:p>
      <w:pPr>
        <w:ind w:left="600" w:hanging="28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Fifth Amended and Restated Credit and Guarantee Agreement (CLOC)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gridSpan w:val="2"/>
          </w:tcPr>
          <w:p>
            <w:pPr>
              <w:spacing w:after="0"/>
              <w:rPr>
                <w:sz w:val="20"/>
                <w:szCs w:val="20"/>
                <w:color w:val="auto"/>
              </w:rPr>
            </w:pPr>
            <w:r>
              <w:rPr>
                <w:rFonts w:ascii="Arial" w:cs="Arial" w:eastAsia="Arial" w:hAnsi="Arial"/>
                <w:sz w:val="17"/>
                <w:szCs w:val="17"/>
                <w:color w:val="auto"/>
              </w:rPr>
              <w:t>Exact Name of Issuer Subsidiary</w:t>
            </w:r>
          </w:p>
        </w:tc>
        <w:tc>
          <w:tcPr>
            <w:tcW w:w="340" w:type="dxa"/>
            <w:vAlign w:val="bottom"/>
          </w:tcPr>
          <w:p>
            <w:pPr>
              <w:spacing w:after="0"/>
              <w:rPr>
                <w:sz w:val="16"/>
                <w:szCs w:val="16"/>
                <w:color w:val="auto"/>
              </w:rPr>
            </w:pPr>
          </w:p>
        </w:tc>
        <w:tc>
          <w:tcPr>
            <w:tcW w:w="1900" w:type="dxa"/>
            <w:vAlign w:val="bottom"/>
            <w:gridSpan w:val="2"/>
          </w:tcPr>
          <w:p>
            <w:pPr>
              <w:ind w:left="40"/>
              <w:spacing w:after="0"/>
              <w:rPr>
                <w:sz w:val="20"/>
                <w:szCs w:val="20"/>
                <w:color w:val="auto"/>
              </w:rPr>
            </w:pPr>
            <w:r>
              <w:rPr>
                <w:rFonts w:ascii="Arial" w:cs="Arial" w:eastAsia="Arial" w:hAnsi="Arial"/>
                <w:sz w:val="17"/>
                <w:szCs w:val="17"/>
                <w:color w:val="auto"/>
                <w:w w:val="99"/>
              </w:rPr>
              <w:t>Jurisdiction of Formation</w:t>
            </w:r>
          </w:p>
        </w:tc>
      </w:tr>
      <w:tr>
        <w:trPr>
          <w:trHeight w:val="20"/>
        </w:trPr>
        <w:tc>
          <w:tcPr>
            <w:tcW w:w="18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227"/>
        </w:trPr>
        <w:tc>
          <w:tcPr>
            <w:tcW w:w="1800" w:type="dxa"/>
            <w:vAlign w:val="bottom"/>
          </w:tcPr>
          <w:p>
            <w:pPr>
              <w:spacing w:after="0"/>
              <w:rPr>
                <w:sz w:val="20"/>
                <w:szCs w:val="20"/>
                <w:color w:val="auto"/>
              </w:rPr>
            </w:pPr>
            <w:r>
              <w:rPr>
                <w:rFonts w:ascii="Arial" w:cs="Arial" w:eastAsia="Arial" w:hAnsi="Arial"/>
                <w:sz w:val="17"/>
                <w:szCs w:val="17"/>
                <w:color w:val="auto"/>
              </w:rPr>
              <w:t>Block Financial LLC</w:t>
            </w:r>
          </w:p>
        </w:tc>
        <w:tc>
          <w:tcPr>
            <w:tcW w:w="1040" w:type="dxa"/>
            <w:vAlign w:val="bottom"/>
            <w:gridSpan w:val="2"/>
          </w:tcPr>
          <w:p>
            <w:pPr>
              <w:ind w:left="300"/>
              <w:spacing w:after="0"/>
              <w:rPr>
                <w:sz w:val="20"/>
                <w:szCs w:val="20"/>
                <w:color w:val="auto"/>
              </w:rPr>
            </w:pPr>
            <w:r>
              <w:rPr>
                <w:rFonts w:ascii="Arial" w:cs="Arial" w:eastAsia="Arial" w:hAnsi="Arial"/>
                <w:sz w:val="17"/>
                <w:szCs w:val="17"/>
                <w:color w:val="auto"/>
              </w:rPr>
              <w:t>Delaware</w:t>
            </w:r>
          </w:p>
        </w:tc>
        <w:tc>
          <w:tcPr>
            <w:tcW w:w="4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 Curtis A. Campbell, Chief Executive Officer, certify that:</w:t>
      </w:r>
    </w:p>
    <w:p>
      <w:pPr>
        <w:spacing w:after="0" w:line="243" w:lineRule="exact"/>
        <w:rPr>
          <w:sz w:val="20"/>
          <w:szCs w:val="20"/>
          <w:color w:val="auto"/>
        </w:rPr>
      </w:pPr>
    </w:p>
    <w:p>
      <w:pPr>
        <w:ind w:left="200" w:hanging="197"/>
        <w:spacing w:after="0"/>
        <w:tabs>
          <w:tab w:leader="none" w:pos="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H&amp;R Block, Inc.;</w:t>
      </w:r>
    </w:p>
    <w:p>
      <w:pPr>
        <w:spacing w:after="0" w:line="242" w:lineRule="exact"/>
        <w:rPr>
          <w:rFonts w:ascii="Arial" w:cs="Arial" w:eastAsia="Arial" w:hAnsi="Arial"/>
          <w:sz w:val="17"/>
          <w:szCs w:val="17"/>
          <w:color w:val="auto"/>
        </w:rPr>
      </w:pPr>
    </w:p>
    <w:p>
      <w:pPr>
        <w:jc w:val="both"/>
        <w:ind w:right="180" w:firstLine="3"/>
        <w:spacing w:after="0" w:line="271" w:lineRule="auto"/>
        <w:tabs>
          <w:tab w:leader="none" w:pos="191"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7"/>
          <w:szCs w:val="17"/>
          <w:color w:val="auto"/>
        </w:rPr>
      </w:pPr>
    </w:p>
    <w:p>
      <w:pPr>
        <w:ind w:right="80" w:firstLine="3"/>
        <w:spacing w:after="0" w:line="290" w:lineRule="auto"/>
        <w:tabs>
          <w:tab w:leader="none" w:pos="191"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right="280" w:firstLine="3"/>
        <w:spacing w:after="0" w:line="271" w:lineRule="auto"/>
        <w:tabs>
          <w:tab w:leader="none" w:pos="19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firstLine="3"/>
        <w:spacing w:after="0" w:line="271" w:lineRule="auto"/>
        <w:tabs>
          <w:tab w:leader="none" w:pos="258"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7"/>
          <w:szCs w:val="17"/>
          <w:color w:val="auto"/>
        </w:rPr>
      </w:pPr>
    </w:p>
    <w:p>
      <w:pPr>
        <w:ind w:right="200" w:firstLine="3"/>
        <w:spacing w:after="0" w:line="271" w:lineRule="auto"/>
        <w:tabs>
          <w:tab w:leader="none" w:pos="258"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7"/>
          <w:szCs w:val="17"/>
          <w:color w:val="auto"/>
        </w:rPr>
      </w:pPr>
    </w:p>
    <w:p>
      <w:pPr>
        <w:ind w:right="680" w:firstLine="3"/>
        <w:spacing w:after="0" w:line="290" w:lineRule="auto"/>
        <w:tabs>
          <w:tab w:leader="none" w:pos="248"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jc w:val="both"/>
        <w:ind w:right="260" w:firstLine="3"/>
        <w:spacing w:after="0" w:line="271" w:lineRule="auto"/>
        <w:tabs>
          <w:tab w:leader="none" w:pos="258"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right="20" w:firstLine="3"/>
        <w:spacing w:after="0" w:line="290" w:lineRule="auto"/>
        <w:tabs>
          <w:tab w:leader="none" w:pos="1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right="240" w:firstLine="3"/>
        <w:spacing w:after="0" w:line="290" w:lineRule="auto"/>
        <w:tabs>
          <w:tab w:leader="none" w:pos="2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right="180" w:firstLine="3"/>
        <w:spacing w:after="0" w:line="290" w:lineRule="auto"/>
        <w:tabs>
          <w:tab w:leader="none" w:pos="2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Arial" w:cs="Arial" w:eastAsia="Arial" w:hAnsi="Arial"/>
                <w:sz w:val="17"/>
                <w:szCs w:val="17"/>
                <w:color w:val="auto"/>
              </w:rPr>
              <w:t>Date:   May 6, 2026</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Curtis A. Campbell</w:t>
            </w:r>
          </w:p>
        </w:tc>
      </w:tr>
      <w:tr>
        <w:trPr>
          <w:trHeight w:val="208"/>
        </w:trPr>
        <w:tc>
          <w:tcPr>
            <w:tcW w:w="67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Curtis A. Campbell</w:t>
            </w:r>
          </w:p>
        </w:tc>
      </w:tr>
      <w:tr>
        <w:trPr>
          <w:trHeight w:val="172"/>
        </w:trPr>
        <w:tc>
          <w:tcPr>
            <w:tcW w:w="6760" w:type="dxa"/>
            <w:vAlign w:val="bottom"/>
          </w:tcPr>
          <w:p>
            <w:pPr>
              <w:spacing w:after="0"/>
              <w:rPr>
                <w:sz w:val="14"/>
                <w:szCs w:val="14"/>
                <w:color w:val="auto"/>
              </w:rPr>
            </w:pPr>
          </w:p>
        </w:tc>
        <w:tc>
          <w:tcPr>
            <w:tcW w:w="4460" w:type="dxa"/>
            <w:vAlign w:val="bottom"/>
          </w:tcPr>
          <w:p>
            <w:pPr>
              <w:ind w:left="20"/>
              <w:spacing w:after="0" w:line="172" w:lineRule="exact"/>
              <w:rPr>
                <w:sz w:val="20"/>
                <w:szCs w:val="20"/>
                <w:color w:val="auto"/>
              </w:rPr>
            </w:pPr>
            <w:r>
              <w:rPr>
                <w:rFonts w:ascii="Arial" w:cs="Arial" w:eastAsia="Arial" w:hAnsi="Arial"/>
                <w:sz w:val="17"/>
                <w:szCs w:val="17"/>
                <w:color w:val="auto"/>
              </w:rPr>
              <w:t>Chief Executive Officer</w:t>
            </w:r>
          </w:p>
        </w:tc>
      </w:tr>
      <w:tr>
        <w:trPr>
          <w:trHeight w:val="226"/>
        </w:trPr>
        <w:tc>
          <w:tcPr>
            <w:tcW w:w="67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H&amp;R Block, Inc.</w:t>
            </w:r>
          </w:p>
        </w:tc>
      </w:tr>
    </w:tbl>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 Tiffany L. Mason, Chief Financial Officer, certify that:</w:t>
      </w:r>
    </w:p>
    <w:p>
      <w:pPr>
        <w:spacing w:after="0" w:line="243" w:lineRule="exact"/>
        <w:rPr>
          <w:sz w:val="20"/>
          <w:szCs w:val="20"/>
          <w:color w:val="auto"/>
        </w:rPr>
      </w:pPr>
    </w:p>
    <w:p>
      <w:pPr>
        <w:ind w:left="200" w:hanging="197"/>
        <w:spacing w:after="0"/>
        <w:tabs>
          <w:tab w:leader="none" w:pos="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H&amp;R Block, Inc.;</w:t>
      </w:r>
    </w:p>
    <w:p>
      <w:pPr>
        <w:spacing w:after="0" w:line="242" w:lineRule="exact"/>
        <w:rPr>
          <w:rFonts w:ascii="Arial" w:cs="Arial" w:eastAsia="Arial" w:hAnsi="Arial"/>
          <w:sz w:val="17"/>
          <w:szCs w:val="17"/>
          <w:color w:val="auto"/>
        </w:rPr>
      </w:pPr>
    </w:p>
    <w:p>
      <w:pPr>
        <w:jc w:val="both"/>
        <w:ind w:right="180" w:firstLine="3"/>
        <w:spacing w:after="0" w:line="271" w:lineRule="auto"/>
        <w:tabs>
          <w:tab w:leader="none" w:pos="1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7"/>
          <w:szCs w:val="17"/>
          <w:color w:val="auto"/>
        </w:rPr>
      </w:pPr>
    </w:p>
    <w:p>
      <w:pPr>
        <w:ind w:right="80" w:firstLine="3"/>
        <w:spacing w:after="0" w:line="290" w:lineRule="auto"/>
        <w:tabs>
          <w:tab w:leader="none" w:pos="1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right="280" w:firstLine="3"/>
        <w:spacing w:after="0" w:line="271" w:lineRule="auto"/>
        <w:tabs>
          <w:tab w:leader="none" w:pos="1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firstLine="3"/>
        <w:spacing w:after="0" w:line="271" w:lineRule="auto"/>
        <w:tabs>
          <w:tab w:leader="none" w:pos="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7"/>
          <w:szCs w:val="17"/>
          <w:color w:val="auto"/>
        </w:rPr>
      </w:pPr>
    </w:p>
    <w:p>
      <w:pPr>
        <w:ind w:right="200" w:firstLine="3"/>
        <w:spacing w:after="0" w:line="271" w:lineRule="auto"/>
        <w:tabs>
          <w:tab w:leader="none" w:pos="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7"/>
          <w:szCs w:val="17"/>
          <w:color w:val="auto"/>
        </w:rPr>
      </w:pPr>
    </w:p>
    <w:p>
      <w:pPr>
        <w:ind w:right="680" w:firstLine="3"/>
        <w:spacing w:after="0" w:line="290" w:lineRule="auto"/>
        <w:tabs>
          <w:tab w:leader="none" w:pos="248"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jc w:val="both"/>
        <w:ind w:right="260" w:firstLine="3"/>
        <w:spacing w:after="0" w:line="271" w:lineRule="auto"/>
        <w:tabs>
          <w:tab w:leader="none" w:pos="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right="20" w:firstLine="3"/>
        <w:spacing w:after="0" w:line="290" w:lineRule="auto"/>
        <w:tabs>
          <w:tab w:leader="none" w:pos="19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right="240" w:firstLine="3"/>
        <w:spacing w:after="0" w:line="290" w:lineRule="auto"/>
        <w:tabs>
          <w:tab w:leader="none" w:pos="2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right="180" w:firstLine="3"/>
        <w:spacing w:after="0" w:line="290" w:lineRule="auto"/>
        <w:tabs>
          <w:tab w:leader="none" w:pos="2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Arial" w:cs="Arial" w:eastAsia="Arial" w:hAnsi="Arial"/>
                <w:sz w:val="17"/>
                <w:szCs w:val="17"/>
                <w:color w:val="auto"/>
              </w:rPr>
              <w:t>Date:   May 6, 2026</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Tiffany L. Mason</w:t>
            </w:r>
          </w:p>
        </w:tc>
      </w:tr>
      <w:tr>
        <w:trPr>
          <w:trHeight w:val="208"/>
        </w:trPr>
        <w:tc>
          <w:tcPr>
            <w:tcW w:w="67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Tiffany L. Mason</w:t>
            </w:r>
          </w:p>
        </w:tc>
      </w:tr>
      <w:tr>
        <w:trPr>
          <w:trHeight w:val="172"/>
        </w:trPr>
        <w:tc>
          <w:tcPr>
            <w:tcW w:w="6760" w:type="dxa"/>
            <w:vAlign w:val="bottom"/>
          </w:tcPr>
          <w:p>
            <w:pPr>
              <w:spacing w:after="0"/>
              <w:rPr>
                <w:sz w:val="14"/>
                <w:szCs w:val="14"/>
                <w:color w:val="auto"/>
              </w:rPr>
            </w:pPr>
          </w:p>
        </w:tc>
        <w:tc>
          <w:tcPr>
            <w:tcW w:w="4460" w:type="dxa"/>
            <w:vAlign w:val="bottom"/>
          </w:tcPr>
          <w:p>
            <w:pPr>
              <w:ind w:left="20"/>
              <w:spacing w:after="0" w:line="172" w:lineRule="exact"/>
              <w:rPr>
                <w:sz w:val="20"/>
                <w:szCs w:val="20"/>
                <w:color w:val="auto"/>
              </w:rPr>
            </w:pPr>
            <w:r>
              <w:rPr>
                <w:rFonts w:ascii="Arial" w:cs="Arial" w:eastAsia="Arial" w:hAnsi="Arial"/>
                <w:sz w:val="17"/>
                <w:szCs w:val="17"/>
                <w:color w:val="auto"/>
              </w:rPr>
              <w:t>Chief Financial Officer</w:t>
            </w:r>
          </w:p>
        </w:tc>
      </w:tr>
      <w:tr>
        <w:trPr>
          <w:trHeight w:val="226"/>
        </w:trPr>
        <w:tc>
          <w:tcPr>
            <w:tcW w:w="67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H&amp;R Block, Inc.</w:t>
            </w:r>
          </w:p>
        </w:tc>
      </w:tr>
    </w:tbl>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ind w:firstLine="194"/>
        <w:spacing w:after="0" w:line="226" w:lineRule="exact"/>
        <w:rPr>
          <w:sz w:val="20"/>
          <w:szCs w:val="20"/>
          <w:color w:val="auto"/>
        </w:rPr>
      </w:pPr>
      <w:r>
        <w:rPr>
          <w:rFonts w:ascii="Arial" w:cs="Arial" w:eastAsia="Arial" w:hAnsi="Arial"/>
          <w:sz w:val="17"/>
          <w:szCs w:val="17"/>
          <w:color w:val="auto"/>
        </w:rPr>
        <w:t>In connection with the quarterly report of H&amp;R Block,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fiscal quarter ended March 31, 2026 as filed with the Securities and Exchange Commission on the date hereof (the “Report”), I, Curtis A. Campbell, Chief Executive Officer of the Company, certify pursuant to 18 U.S.C. § 1350, as adopted pursuant to § 906 of the Sarbanes-Oxley Act of 2002, that:</w:t>
      </w:r>
    </w:p>
    <w:p>
      <w:pPr>
        <w:spacing w:after="0" w:line="214" w:lineRule="exact"/>
        <w:rPr>
          <w:sz w:val="20"/>
          <w:szCs w:val="20"/>
          <w:color w:val="auto"/>
        </w:rPr>
      </w:pPr>
    </w:p>
    <w:p>
      <w:pPr>
        <w:ind w:left="1260" w:hanging="63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1240" w:hanging="618"/>
        <w:spacing w:after="0" w:line="290" w:lineRule="auto"/>
        <w:tabs>
          <w:tab w:leader="none" w:pos="12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/s/ Curtis A.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17780</wp:posOffset>
            </wp:positionV>
            <wp:extent cx="21120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5"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Curtis A. Campbell</w:t>
      </w:r>
    </w:p>
    <w:p>
      <w:pPr>
        <w:ind w:left="7940"/>
        <w:spacing w:after="0" w:line="205" w:lineRule="auto"/>
        <w:rPr>
          <w:sz w:val="20"/>
          <w:szCs w:val="20"/>
          <w:color w:val="auto"/>
        </w:rPr>
      </w:pPr>
      <w:r>
        <w:rPr>
          <w:rFonts w:ascii="Arial" w:cs="Arial" w:eastAsia="Arial" w:hAnsi="Arial"/>
          <w:sz w:val="17"/>
          <w:szCs w:val="17"/>
          <w:color w:val="auto"/>
        </w:rPr>
        <w:t>Chief Executive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H&amp;R Block, Inc.</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May 6, 2026</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ind w:firstLine="194"/>
        <w:spacing w:after="0" w:line="226" w:lineRule="exact"/>
        <w:rPr>
          <w:sz w:val="20"/>
          <w:szCs w:val="20"/>
          <w:color w:val="auto"/>
        </w:rPr>
      </w:pPr>
      <w:r>
        <w:rPr>
          <w:rFonts w:ascii="Arial" w:cs="Arial" w:eastAsia="Arial" w:hAnsi="Arial"/>
          <w:sz w:val="17"/>
          <w:szCs w:val="17"/>
          <w:color w:val="auto"/>
        </w:rPr>
        <w:t>In connection with the quarterly report of H&amp;R Block,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fiscal quarter ended March 31, 2026 as filed with the Securities and Exchange Commission on the date hereof (the “Report”), I, Tiffany L. Mason, Chief Financial Officer of the Company, certify pursuant to 18 U.S.C. § 1350, as adopted pursuant to § 906 of the Sarbanes-Oxley Act of 2002, that:</w:t>
      </w:r>
    </w:p>
    <w:p>
      <w:pPr>
        <w:spacing w:after="0" w:line="214" w:lineRule="exact"/>
        <w:rPr>
          <w:sz w:val="20"/>
          <w:szCs w:val="20"/>
          <w:color w:val="auto"/>
        </w:rPr>
      </w:pPr>
    </w:p>
    <w:p>
      <w:pPr>
        <w:ind w:left="1260" w:hanging="638"/>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1240" w:hanging="618"/>
        <w:spacing w:after="0" w:line="290" w:lineRule="auto"/>
        <w:tabs>
          <w:tab w:leader="none" w:pos="12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/s/ Tiffany L.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17780</wp:posOffset>
            </wp:positionV>
            <wp:extent cx="21120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5"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Tiffany L. Mason</w:t>
      </w:r>
    </w:p>
    <w:p>
      <w:pPr>
        <w:ind w:left="7940"/>
        <w:spacing w:after="0" w:line="205"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H&amp;R Block, Inc.</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May 6,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4"/>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6"/>
      <w:numFmt w:val="bullet"/>
      <w:start w:val="1"/>
    </w:lvl>
  </w:abstractNum>
  <w:abstractNum w:abstractNumId="6">
    <w:nsid w:val="62BBD95A"/>
    <w:multiLevelType w:val="hybridMultilevel"/>
    <w:lvl w:ilvl="0">
      <w:lvlJc w:val="left"/>
      <w:lvlText w:val="8"/>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0"/>
    </w:lvl>
  </w:abstractNum>
  <w:abstractNum w:abstractNumId="9">
    <w:nsid w:val="333AB105"/>
    <w:multiLevelType w:val="hybridMultilevel"/>
    <w:lvl w:ilvl="0">
      <w:lvlJc w:val="left"/>
      <w:lvlText w:val="%1"/>
      <w:numFmt w:val="decimal"/>
      <w:start w:val="12"/>
    </w:lvl>
  </w:abstractNum>
  <w:abstractNum w:abstractNumId="10">
    <w:nsid w:val="721DA317"/>
    <w:multiLevelType w:val="hybridMultilevel"/>
    <w:lvl w:ilvl="0">
      <w:lvlJc w:val="left"/>
      <w:lvlText w:val="%1"/>
      <w:numFmt w:val="decimal"/>
      <w:start w:val="14"/>
    </w:lvl>
  </w:abstractNum>
  <w:abstractNum w:abstractNumId="11">
    <w:nsid w:val="2443A858"/>
    <w:multiLevelType w:val="hybridMultilevel"/>
    <w:lvl w:ilvl="0">
      <w:lvlJc w:val="left"/>
      <w:lvlText w:val="%1"/>
      <w:numFmt w:val="decimal"/>
      <w:start w:val="16"/>
    </w:lvl>
  </w:abstractNum>
  <w:abstractNum w:abstractNumId="12">
    <w:nsid w:val="2D1D5AE9"/>
    <w:multiLevelType w:val="hybridMultilevel"/>
    <w:lvl w:ilvl="0">
      <w:lvlJc w:val="left"/>
      <w:lvlText w:val="%1"/>
      <w:numFmt w:val="decimal"/>
      <w:start w:val="18"/>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20"/>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22"/>
    </w:lvl>
  </w:abstractNum>
  <w:abstractNum w:abstractNumId="17">
    <w:nsid w:val="4353D0CD"/>
    <w:multiLevelType w:val="hybridMultilevel"/>
    <w:lvl w:ilvl="0">
      <w:lvlJc w:val="left"/>
      <w:lvlText w:val="%1"/>
      <w:numFmt w:val="decimal"/>
      <w:start w:val="24"/>
    </w:lvl>
  </w:abstractNum>
  <w:abstractNum w:abstractNumId="18">
    <w:nsid w:val="B03E0C6"/>
    <w:multiLevelType w:val="hybridMultilevel"/>
    <w:lvl w:ilvl="0">
      <w:lvlJc w:val="left"/>
      <w:lvlText w:val="%1"/>
      <w:numFmt w:val="decimal"/>
      <w:start w:val="26"/>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28"/>
    </w:lvl>
  </w:abstractNum>
  <w:abstractNum w:abstractNumId="21">
    <w:nsid w:val="71F32454"/>
    <w:multiLevelType w:val="hybridMultilevel"/>
    <w:lvl w:ilvl="0">
      <w:lvlJc w:val="left"/>
      <w:lvlText w:val="%1"/>
      <w:numFmt w:val="decimal"/>
      <w:start w:val="30"/>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2026-05-06T15:56:44Z</dcterms:created>
  <dcterms:modified xsi:type="dcterms:W3CDTF">2026-05-06T15:56:44Z</dcterms:modified>
</cp:coreProperties>
</file>