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598170</wp:posOffset>
            </wp:positionH>
            <wp:positionV relativeFrom="page">
              <wp:posOffset>1054735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1014095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SECURITIES AND EXCHANGE COMMISSION</w:t>
      </w:r>
    </w:p>
    <w:p>
      <w:pPr>
        <w:jc w:val="center"/>
        <w:spacing w:after="0" w:line="229" w:lineRule="auto"/>
        <w:rPr>
          <w:sz w:val="20"/>
          <w:szCs w:val="20"/>
          <w:color w:val="auto"/>
        </w:rPr>
      </w:pPr>
      <w:r>
        <w:rPr>
          <w:rFonts w:ascii="Calibri" w:cs="Calibri" w:eastAsia="Calibri" w:hAnsi="Calibri"/>
          <w:sz w:val="21"/>
          <w:szCs w:val="21"/>
          <w:b w:val="1"/>
          <w:bCs w:val="1"/>
          <w:color w:val="auto"/>
        </w:rPr>
        <w:t>WASHINGTON, D.C. 20549</w:t>
      </w:r>
    </w:p>
    <w:p>
      <w:pPr>
        <w:jc w:val="center"/>
        <w:spacing w:after="0" w:line="229" w:lineRule="auto"/>
        <w:rPr>
          <w:sz w:val="20"/>
          <w:szCs w:val="20"/>
          <w:color w:val="auto"/>
        </w:rPr>
      </w:pPr>
      <w:r>
        <w:rPr>
          <w:rFonts w:ascii="Calibri" w:cs="Calibri" w:eastAsia="Calibri" w:hAnsi="Calibri"/>
          <w:sz w:val="21"/>
          <w:szCs w:val="21"/>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CURRENT REPORT</w:t>
      </w:r>
    </w:p>
    <w:p>
      <w:pPr>
        <w:jc w:val="center"/>
        <w:spacing w:after="0" w:line="229" w:lineRule="auto"/>
        <w:rPr>
          <w:sz w:val="20"/>
          <w:szCs w:val="20"/>
          <w:color w:val="auto"/>
        </w:rPr>
      </w:pPr>
      <w:r>
        <w:rPr>
          <w:rFonts w:ascii="Calibri" w:cs="Calibri" w:eastAsia="Calibri" w:hAnsi="Calibri"/>
          <w:sz w:val="21"/>
          <w:szCs w:val="21"/>
          <w:b w:val="1"/>
          <w:bCs w:val="1"/>
          <w:color w:val="auto"/>
        </w:rPr>
        <w:t>Pursuant to Secton 13 or 15(d) of the Securites Exchange Act of 1934</w:t>
      </w:r>
    </w:p>
    <w:p>
      <w:pPr>
        <w:spacing w:after="0" w:line="221" w:lineRule="exact"/>
        <w:rPr>
          <w:sz w:val="24"/>
          <w:szCs w:val="24"/>
          <w:color w:val="auto"/>
        </w:rPr>
      </w:pPr>
    </w:p>
    <w:p>
      <w:pPr>
        <w:jc w:val="center"/>
        <w:spacing w:after="0"/>
        <w:rPr>
          <w:sz w:val="20"/>
          <w:szCs w:val="20"/>
          <w:color w:val="auto"/>
        </w:rPr>
      </w:pPr>
      <w:r>
        <w:rPr>
          <w:rFonts w:ascii="Calibri" w:cs="Calibri" w:eastAsia="Calibri" w:hAnsi="Calibri"/>
          <w:sz w:val="21"/>
          <w:szCs w:val="21"/>
          <w:color w:val="auto"/>
        </w:rPr>
        <w:t>Date of Report (date of earliest event reported): November 6, 2024</w:t>
      </w:r>
    </w:p>
    <w:p>
      <w:pPr>
        <w:spacing w:after="0" w:line="234"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H&amp;R BLOCK, INC.</w:t>
      </w:r>
    </w:p>
    <w:p>
      <w:pPr>
        <w:spacing w:after="0" w:line="4"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(Exact name of registrant as specifed in charter)</w:t>
      </w:r>
    </w:p>
    <w:p>
      <w:pPr>
        <w:spacing w:after="0" w:line="244" w:lineRule="exact"/>
        <w:rPr>
          <w:sz w:val="24"/>
          <w:szCs w:val="24"/>
          <w:color w:val="auto"/>
        </w:rPr>
      </w:pPr>
    </w:p>
    <w:tbl>
      <w:tblPr>
        <w:tblLayout w:type="fixed"/>
        <w:tblInd w:w="860" w:type="dxa"/>
        <w:tblCellMar>
          <w:top w:w="0" w:type="dxa"/>
          <w:left w:w="0" w:type="dxa"/>
          <w:bottom w:w="0" w:type="dxa"/>
          <w:right w:w="0" w:type="dxa"/>
        </w:tblCellMar>
      </w:tblPr>
      <w:tr>
        <w:trPr>
          <w:trHeight w:val="208"/>
        </w:trPr>
        <w:tc>
          <w:tcPr>
            <w:tcW w:w="2940" w:type="dxa"/>
            <w:vAlign w:val="bottom"/>
          </w:tcPr>
          <w:p>
            <w:pPr>
              <w:jc w:val="center"/>
              <w:ind w:right="814"/>
              <w:spacing w:after="0"/>
              <w:rPr>
                <w:sz w:val="20"/>
                <w:szCs w:val="20"/>
                <w:color w:val="auto"/>
              </w:rPr>
            </w:pPr>
            <w:r>
              <w:rPr>
                <w:rFonts w:ascii="Calibri" w:cs="Calibri" w:eastAsia="Calibri" w:hAnsi="Calibri"/>
                <w:sz w:val="17"/>
                <w:szCs w:val="17"/>
                <w:b w:val="1"/>
                <w:bCs w:val="1"/>
                <w:color w:val="auto"/>
                <w:w w:val="98"/>
              </w:rPr>
              <w:t>Missouri</w:t>
            </w:r>
          </w:p>
        </w:tc>
        <w:tc>
          <w:tcPr>
            <w:tcW w:w="3840" w:type="dxa"/>
            <w:vAlign w:val="bottom"/>
          </w:tcPr>
          <w:p>
            <w:pPr>
              <w:jc w:val="right"/>
              <w:ind w:right="1654"/>
              <w:spacing w:after="0"/>
              <w:rPr>
                <w:sz w:val="20"/>
                <w:szCs w:val="20"/>
                <w:color w:val="auto"/>
              </w:rPr>
            </w:pPr>
            <w:r>
              <w:rPr>
                <w:rFonts w:ascii="Calibri" w:cs="Calibri" w:eastAsia="Calibri" w:hAnsi="Calibri"/>
                <w:sz w:val="17"/>
                <w:szCs w:val="17"/>
                <w:b w:val="1"/>
                <w:bCs w:val="1"/>
                <w:color w:val="auto"/>
              </w:rPr>
              <w:t>1-06089</w:t>
            </w:r>
          </w:p>
        </w:tc>
        <w:tc>
          <w:tcPr>
            <w:tcW w:w="2340" w:type="dxa"/>
            <w:vAlign w:val="bottom"/>
          </w:tcPr>
          <w:p>
            <w:pPr>
              <w:jc w:val="center"/>
              <w:ind w:left="1034"/>
              <w:spacing w:after="0"/>
              <w:rPr>
                <w:sz w:val="20"/>
                <w:szCs w:val="20"/>
                <w:color w:val="auto"/>
              </w:rPr>
            </w:pPr>
            <w:r>
              <w:rPr>
                <w:rFonts w:ascii="Calibri" w:cs="Calibri" w:eastAsia="Calibri" w:hAnsi="Calibri"/>
                <w:sz w:val="17"/>
                <w:szCs w:val="17"/>
                <w:b w:val="1"/>
                <w:bCs w:val="1"/>
                <w:color w:val="auto"/>
                <w:w w:val="99"/>
              </w:rPr>
              <w:t>44-0607856</w:t>
            </w:r>
          </w:p>
        </w:tc>
      </w:tr>
      <w:tr>
        <w:trPr>
          <w:trHeight w:val="219"/>
        </w:trPr>
        <w:tc>
          <w:tcPr>
            <w:tcW w:w="2940" w:type="dxa"/>
            <w:vAlign w:val="bottom"/>
          </w:tcPr>
          <w:p>
            <w:pPr>
              <w:jc w:val="center"/>
              <w:ind w:right="834"/>
              <w:spacing w:after="0"/>
              <w:rPr>
                <w:sz w:val="20"/>
                <w:szCs w:val="20"/>
                <w:color w:val="auto"/>
              </w:rPr>
            </w:pPr>
            <w:r>
              <w:rPr>
                <w:rFonts w:ascii="Calibri" w:cs="Calibri" w:eastAsia="Calibri" w:hAnsi="Calibri"/>
                <w:sz w:val="17"/>
                <w:szCs w:val="17"/>
                <w:color w:val="auto"/>
              </w:rPr>
              <w:t>(State or other jurisdicton of</w:t>
            </w:r>
          </w:p>
        </w:tc>
        <w:tc>
          <w:tcPr>
            <w:tcW w:w="3840" w:type="dxa"/>
            <w:vAlign w:val="bottom"/>
          </w:tcPr>
          <w:p>
            <w:pPr>
              <w:jc w:val="center"/>
              <w:ind w:right="114"/>
              <w:spacing w:after="0"/>
              <w:rPr>
                <w:sz w:val="20"/>
                <w:szCs w:val="20"/>
                <w:color w:val="auto"/>
              </w:rPr>
            </w:pPr>
            <w:r>
              <w:rPr>
                <w:rFonts w:ascii="Calibri" w:cs="Calibri" w:eastAsia="Calibri" w:hAnsi="Calibri"/>
                <w:sz w:val="17"/>
                <w:szCs w:val="17"/>
                <w:color w:val="auto"/>
                <w:w w:val="98"/>
              </w:rPr>
              <w:t>(Commission File Number)</w:t>
            </w:r>
          </w:p>
        </w:tc>
        <w:tc>
          <w:tcPr>
            <w:tcW w:w="2340" w:type="dxa"/>
            <w:vAlign w:val="bottom"/>
          </w:tcPr>
          <w:p>
            <w:pPr>
              <w:jc w:val="center"/>
              <w:ind w:left="1034"/>
              <w:spacing w:after="0"/>
              <w:rPr>
                <w:sz w:val="20"/>
                <w:szCs w:val="20"/>
                <w:color w:val="auto"/>
              </w:rPr>
            </w:pPr>
            <w:r>
              <w:rPr>
                <w:rFonts w:ascii="Calibri" w:cs="Calibri" w:eastAsia="Calibri" w:hAnsi="Calibri"/>
                <w:sz w:val="17"/>
                <w:szCs w:val="17"/>
                <w:color w:val="auto"/>
                <w:w w:val="97"/>
              </w:rPr>
              <w:t>(I.R.S. Employer</w:t>
            </w:r>
          </w:p>
        </w:tc>
      </w:tr>
      <w:tr>
        <w:trPr>
          <w:trHeight w:val="219"/>
        </w:trPr>
        <w:tc>
          <w:tcPr>
            <w:tcW w:w="2940" w:type="dxa"/>
            <w:vAlign w:val="bottom"/>
          </w:tcPr>
          <w:p>
            <w:pPr>
              <w:jc w:val="center"/>
              <w:ind w:right="814"/>
              <w:spacing w:after="0"/>
              <w:rPr>
                <w:sz w:val="20"/>
                <w:szCs w:val="20"/>
                <w:color w:val="auto"/>
              </w:rPr>
            </w:pPr>
            <w:r>
              <w:rPr>
                <w:rFonts w:ascii="Calibri" w:cs="Calibri" w:eastAsia="Calibri" w:hAnsi="Calibri"/>
                <w:sz w:val="17"/>
                <w:szCs w:val="17"/>
                <w:color w:val="auto"/>
              </w:rPr>
              <w:t>incorporaton or organizaton)</w:t>
            </w:r>
          </w:p>
        </w:tc>
        <w:tc>
          <w:tcPr>
            <w:tcW w:w="3840" w:type="dxa"/>
            <w:vAlign w:val="bottom"/>
          </w:tcPr>
          <w:p>
            <w:pPr>
              <w:spacing w:after="0"/>
              <w:rPr>
                <w:sz w:val="19"/>
                <w:szCs w:val="19"/>
                <w:color w:val="auto"/>
              </w:rPr>
            </w:pPr>
          </w:p>
        </w:tc>
        <w:tc>
          <w:tcPr>
            <w:tcW w:w="2340" w:type="dxa"/>
            <w:vAlign w:val="bottom"/>
          </w:tcPr>
          <w:p>
            <w:pPr>
              <w:jc w:val="center"/>
              <w:ind w:left="1034"/>
              <w:spacing w:after="0"/>
              <w:rPr>
                <w:sz w:val="20"/>
                <w:szCs w:val="20"/>
                <w:color w:val="auto"/>
              </w:rPr>
            </w:pPr>
            <w:r>
              <w:rPr>
                <w:rFonts w:ascii="Calibri" w:cs="Calibri" w:eastAsia="Calibri" w:hAnsi="Calibri"/>
                <w:sz w:val="17"/>
                <w:szCs w:val="17"/>
                <w:color w:val="auto"/>
              </w:rPr>
              <w:t>Identfcaton No.)</w:t>
            </w:r>
          </w:p>
        </w:tc>
      </w:tr>
    </w:tbl>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One H&amp;R Block Way, Kansas City, MO 64105</w:t>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(Address of Principal Executve Ofces) (Zip Code)</w:t>
      </w:r>
    </w:p>
    <w:p>
      <w:pPr>
        <w:spacing w:after="0" w:line="216"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(816) 854-3000</w:t>
      </w:r>
    </w:p>
    <w:p>
      <w:pPr>
        <w:spacing w:after="0" w:line="4"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16"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(Former name or former address, if changed since last report)</w:t>
      </w:r>
    </w:p>
    <w:p>
      <w:pPr>
        <w:spacing w:after="0" w:line="337" w:lineRule="exact"/>
        <w:rPr>
          <w:sz w:val="24"/>
          <w:szCs w:val="24"/>
          <w:color w:val="auto"/>
        </w:rPr>
      </w:pPr>
    </w:p>
    <w:p>
      <w:pPr>
        <w:spacing w:after="0" w:line="237" w:lineRule="auto"/>
        <w:rPr>
          <w:sz w:val="20"/>
          <w:szCs w:val="20"/>
          <w:color w:val="auto"/>
        </w:rPr>
      </w:pPr>
      <w:r>
        <w:rPr>
          <w:rFonts w:ascii="Calibri" w:cs="Calibri" w:eastAsia="Calibri" w:hAnsi="Calibri"/>
          <w:sz w:val="17"/>
          <w:szCs w:val="17"/>
          <w:color w:val="auto"/>
        </w:rPr>
        <w:t>Check the appropriate box below if the Form 8-K fling is intended to simultaneously satsfy the fling obligaton of the registrant under any of the following provisions (see General Instructon A.2. below):</w:t>
      </w:r>
    </w:p>
    <w:p>
      <w:pPr>
        <w:spacing w:after="0" w:line="116"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Writen communicatons pursuant to Rule 425 under the Securites Act (17 CFR 230.425)</w:t>
      </w:r>
    </w:p>
    <w:p>
      <w:pPr>
        <w:spacing w:after="0" w:line="63"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Solicitng material pursuant to Rule 14a-12 under the Exchange Act (17 CFR 240.14a-12)</w:t>
      </w:r>
    </w:p>
    <w:p>
      <w:pPr>
        <w:spacing w:after="0" w:line="63"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Pre-commencement communicatons pursuant to Rule 14d-2(b) under the Exchange Act (17 CFR 240.14d-2(b))</w:t>
      </w:r>
    </w:p>
    <w:p>
      <w:pPr>
        <w:spacing w:after="0" w:line="63"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Pre-commencement communicatons pursuant to Rule 13e-4(c) under the Exchange Act (17 CFR 240.13e-4(c))</w:t>
      </w:r>
    </w:p>
    <w:p>
      <w:pPr>
        <w:spacing w:after="0" w:line="102" w:lineRule="exact"/>
        <w:rPr>
          <w:sz w:val="24"/>
          <w:szCs w:val="24"/>
          <w:color w:val="auto"/>
        </w:rPr>
      </w:pPr>
    </w:p>
    <w:p>
      <w:pPr>
        <w:spacing w:after="0"/>
        <w:rPr>
          <w:sz w:val="20"/>
          <w:szCs w:val="20"/>
          <w:color w:val="auto"/>
        </w:rPr>
      </w:pPr>
      <w:r>
        <w:rPr>
          <w:rFonts w:ascii="Calibri" w:cs="Calibri" w:eastAsia="Calibri" w:hAnsi="Calibri"/>
          <w:sz w:val="17"/>
          <w:szCs w:val="17"/>
          <w:color w:val="auto"/>
        </w:rPr>
        <w:t>Securites registered pursuant to Secton 12(b) of the Act:</w:t>
      </w:r>
    </w:p>
    <w:p>
      <w:pPr>
        <w:spacing w:after="0" w:line="118" w:lineRule="exact"/>
        <w:rPr>
          <w:sz w:val="24"/>
          <w:szCs w:val="24"/>
          <w:color w:val="auto"/>
        </w:rPr>
      </w:pPr>
    </w:p>
    <w:tbl>
      <w:tblPr>
        <w:tblLayout w:type="fixed"/>
        <w:tblInd w:w="30" w:type="dxa"/>
        <w:tblCellMar>
          <w:top w:w="0" w:type="dxa"/>
          <w:left w:w="0" w:type="dxa"/>
          <w:bottom w:w="0" w:type="dxa"/>
          <w:right w:w="0" w:type="dxa"/>
        </w:tblCellMar>
      </w:tblPr>
      <w:tr>
        <w:trPr>
          <w:trHeight w:val="225"/>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6"/>
              </w:rPr>
              <w:t>Trading Symbol(s)</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8"/>
              </w:rPr>
              <w:t>Name of each exchange on which registered</w:t>
            </w:r>
          </w:p>
        </w:tc>
      </w:tr>
      <w:tr>
        <w:trPr>
          <w:trHeight w:val="212"/>
        </w:trPr>
        <w:tc>
          <w:tcPr>
            <w:tcW w:w="3680" w:type="dxa"/>
            <w:vAlign w:val="bottom"/>
            <w:tcBorders>
              <w:left w:val="single" w:sz="8" w:color="auto"/>
              <w:bottom w:val="single" w:sz="8" w:color="auto"/>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8"/>
              </w:rPr>
              <w:t>Common Stock, without par value</w:t>
            </w:r>
          </w:p>
        </w:tc>
        <w:tc>
          <w:tcPr>
            <w:tcW w:w="2160" w:type="dxa"/>
            <w:vAlign w:val="bottom"/>
            <w:tcBorders>
              <w:bottom w:val="single" w:sz="8" w:color="auto"/>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6"/>
              </w:rPr>
              <w:t>HRB</w:t>
            </w:r>
          </w:p>
        </w:tc>
        <w:tc>
          <w:tcPr>
            <w:tcW w:w="5400" w:type="dxa"/>
            <w:vAlign w:val="bottom"/>
            <w:tcBorders>
              <w:bottom w:val="single" w:sz="8" w:color="auto"/>
              <w:right w:val="single" w:sz="8" w:color="auto"/>
            </w:tcBorders>
          </w:tcPr>
          <w:p>
            <w:pPr>
              <w:jc w:val="center"/>
              <w:spacing w:after="0" w:line="205" w:lineRule="exact"/>
              <w:rPr>
                <w:sz w:val="20"/>
                <w:szCs w:val="20"/>
                <w:color w:val="auto"/>
              </w:rPr>
            </w:pPr>
            <w:r>
              <w:rPr>
                <w:rFonts w:ascii="Calibri" w:cs="Calibri" w:eastAsia="Calibri" w:hAnsi="Calibri"/>
                <w:sz w:val="17"/>
                <w:szCs w:val="17"/>
                <w:color w:val="auto"/>
                <w:w w:val="97"/>
              </w:rPr>
              <w:t>New York Stock Exchange</w:t>
            </w:r>
          </w:p>
        </w:tc>
      </w:tr>
    </w:tbl>
    <w:p>
      <w:pPr>
        <w:spacing w:after="0" w:line="159" w:lineRule="exact"/>
        <w:rPr>
          <w:sz w:val="24"/>
          <w:szCs w:val="24"/>
          <w:color w:val="auto"/>
        </w:rPr>
      </w:pPr>
    </w:p>
    <w:p>
      <w:pPr>
        <w:jc w:val="both"/>
        <w:spacing w:after="0" w:line="231" w:lineRule="exact"/>
        <w:rPr>
          <w:sz w:val="20"/>
          <w:szCs w:val="20"/>
          <w:color w:val="auto"/>
        </w:rPr>
      </w:pPr>
      <w:r>
        <w:rPr>
          <w:rFonts w:ascii="Calibri" w:cs="Calibri" w:eastAsia="Calibri" w:hAnsi="Calibri"/>
          <w:sz w:val="17"/>
          <w:szCs w:val="17"/>
          <w:color w:val="auto"/>
        </w:rPr>
        <w:t xml:space="preserve">Indicate by check mark whether the registrant is an emerging growth company as defned in Rule 405 of the Securites Act of 1933 (§230.405 of this chapter) or Rule 12b-2 of the Securites Exchange Act of 1934 (§240.12b-2 of this chapter). Emerging growth company </w:t>
      </w:r>
      <w:r>
        <w:rPr>
          <w:rFonts w:ascii="MS PGothic" w:cs="MS PGothic" w:eastAsia="MS PGothic" w:hAnsi="MS PGothic"/>
          <w:sz w:val="17"/>
          <w:szCs w:val="17"/>
          <w:color w:val="auto"/>
        </w:rPr>
        <w:t>☐</w:t>
      </w:r>
    </w:p>
    <w:p>
      <w:pPr>
        <w:spacing w:after="0" w:line="69" w:lineRule="exact"/>
        <w:rPr>
          <w:sz w:val="24"/>
          <w:szCs w:val="24"/>
          <w:color w:val="auto"/>
        </w:rPr>
      </w:pPr>
    </w:p>
    <w:p>
      <w:pPr>
        <w:jc w:val="both"/>
        <w:spacing w:after="0" w:line="231" w:lineRule="exact"/>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1002030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5.07. Submission of Maters to a Vote of Security Holders</w:t>
      </w:r>
      <w:r>
        <w:rPr>
          <w:rFonts w:ascii="Calibri" w:cs="Calibri" w:eastAsia="Calibri" w:hAnsi="Calibri"/>
          <w:sz w:val="19"/>
          <w:szCs w:val="19"/>
          <w:color w:val="auto"/>
        </w:rPr>
        <w:t>.</w:t>
      </w:r>
    </w:p>
    <w:p>
      <w:pPr>
        <w:spacing w:after="0" w:line="103" w:lineRule="exact"/>
        <w:rPr>
          <w:sz w:val="20"/>
          <w:szCs w:val="20"/>
          <w:color w:val="auto"/>
        </w:rPr>
      </w:pPr>
    </w:p>
    <w:p>
      <w:pPr>
        <w:ind w:left="320" w:hanging="317"/>
        <w:spacing w:after="0"/>
        <w:tabs>
          <w:tab w:leader="none" w:pos="320" w:val="left"/>
        </w:tabs>
        <w:numPr>
          <w:ilvl w:val="0"/>
          <w:numId w:val="2"/>
        </w:numPr>
        <w:rPr>
          <w:rFonts w:ascii="Calibri" w:cs="Calibri" w:eastAsia="Calibri" w:hAnsi="Calibri"/>
          <w:sz w:val="19"/>
          <w:szCs w:val="19"/>
          <w:color w:val="auto"/>
        </w:rPr>
      </w:pPr>
      <w:r>
        <w:rPr>
          <w:rFonts w:ascii="Calibri" w:cs="Calibri" w:eastAsia="Calibri" w:hAnsi="Calibri"/>
          <w:sz w:val="19"/>
          <w:szCs w:val="19"/>
          <w:color w:val="auto"/>
        </w:rPr>
        <w:t>The 2024 annual meetng of shareholders (the “Annual Meetng”) of H&amp;R Block, Inc. (the “Company”) was held on November 6, 2024.</w:t>
      </w:r>
    </w:p>
    <w:p>
      <w:pPr>
        <w:spacing w:after="0" w:line="200" w:lineRule="exact"/>
        <w:rPr>
          <w:rFonts w:ascii="Calibri" w:cs="Calibri" w:eastAsia="Calibri" w:hAnsi="Calibri"/>
          <w:sz w:val="19"/>
          <w:szCs w:val="19"/>
          <w:color w:val="auto"/>
        </w:rPr>
      </w:pPr>
    </w:p>
    <w:p>
      <w:pPr>
        <w:spacing w:after="0" w:line="225" w:lineRule="exact"/>
        <w:rPr>
          <w:rFonts w:ascii="Calibri" w:cs="Calibri" w:eastAsia="Calibri" w:hAnsi="Calibri"/>
          <w:sz w:val="19"/>
          <w:szCs w:val="19"/>
          <w:color w:val="auto"/>
        </w:rPr>
      </w:pPr>
    </w:p>
    <w:p>
      <w:pPr>
        <w:ind w:left="320" w:hanging="317"/>
        <w:spacing w:after="0"/>
        <w:tabs>
          <w:tab w:leader="none" w:pos="320" w:val="left"/>
        </w:tabs>
        <w:numPr>
          <w:ilvl w:val="0"/>
          <w:numId w:val="2"/>
        </w:numPr>
        <w:rPr>
          <w:rFonts w:ascii="Calibri" w:cs="Calibri" w:eastAsia="Calibri" w:hAnsi="Calibri"/>
          <w:sz w:val="19"/>
          <w:szCs w:val="19"/>
          <w:color w:val="auto"/>
        </w:rPr>
      </w:pPr>
      <w:r>
        <w:rPr>
          <w:rFonts w:ascii="Calibri" w:cs="Calibri" w:eastAsia="Calibri" w:hAnsi="Calibri"/>
          <w:sz w:val="19"/>
          <w:szCs w:val="19"/>
          <w:color w:val="auto"/>
        </w:rPr>
        <w:t>The fnal votng results of the proposals submited to a vote of the Company’s shareholders at the Annual Meetng are set forth below.</w:t>
      </w:r>
    </w:p>
    <w:p>
      <w:pPr>
        <w:spacing w:after="0" w:line="200" w:lineRule="exact"/>
        <w:rPr>
          <w:sz w:val="20"/>
          <w:szCs w:val="20"/>
          <w:color w:val="auto"/>
        </w:rPr>
      </w:pPr>
    </w:p>
    <w:p>
      <w:pPr>
        <w:spacing w:after="0" w:line="245" w:lineRule="exact"/>
        <w:rPr>
          <w:sz w:val="20"/>
          <w:szCs w:val="20"/>
          <w:color w:val="auto"/>
        </w:rPr>
      </w:pPr>
    </w:p>
    <w:p>
      <w:pPr>
        <w:ind w:left="620" w:right="360" w:hanging="307"/>
        <w:spacing w:after="0" w:line="230" w:lineRule="auto"/>
        <w:tabs>
          <w:tab w:leader="none" w:pos="622"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Each of the following nominees for director was elected to serve untl the next annual meetng of shareholders or untl a respectve successor is elected and qualifed: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Calibri" w:cs="Calibri" w:eastAsia="Calibri" w:hAnsi="Calibri"/>
                <w:sz w:val="17"/>
                <w:szCs w:val="17"/>
                <w:b w:val="1"/>
                <w:bCs w:val="1"/>
                <w:color w:val="auto"/>
              </w:rPr>
              <w:t>Director Name</w:t>
            </w:r>
          </w:p>
        </w:tc>
        <w:tc>
          <w:tcPr>
            <w:tcW w:w="8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360"/>
              <w:spacing w:after="0"/>
              <w:rPr>
                <w:sz w:val="20"/>
                <w:szCs w:val="20"/>
                <w:color w:val="auto"/>
              </w:rPr>
            </w:pPr>
            <w:r>
              <w:rPr>
                <w:rFonts w:ascii="Calibri" w:cs="Calibri" w:eastAsia="Calibri" w:hAnsi="Calibri"/>
                <w:sz w:val="17"/>
                <w:szCs w:val="17"/>
                <w:b w:val="1"/>
                <w:bCs w:val="1"/>
                <w:color w:val="auto"/>
                <w:w w:val="98"/>
              </w:rPr>
              <w:t>Votes For</w:t>
            </w:r>
          </w:p>
        </w:tc>
        <w:tc>
          <w:tcPr>
            <w:tcW w:w="2220" w:type="dxa"/>
            <w:vAlign w:val="bottom"/>
            <w:gridSpan w:val="2"/>
            <w:shd w:val="clear" w:color="auto" w:fill="CCEEFF"/>
          </w:tcPr>
          <w:p>
            <w:pPr>
              <w:spacing w:after="0"/>
              <w:rPr>
                <w:sz w:val="20"/>
                <w:szCs w:val="20"/>
                <w:color w:val="auto"/>
              </w:rPr>
            </w:pPr>
            <w:r>
              <w:rPr>
                <w:rFonts w:ascii="Calibri" w:cs="Calibri" w:eastAsia="Calibri" w:hAnsi="Calibri"/>
                <w:sz w:val="17"/>
                <w:szCs w:val="17"/>
                <w:b w:val="1"/>
                <w:bCs w:val="1"/>
                <w:color w:val="auto"/>
              </w:rPr>
              <w:t>Votes Against</w:t>
            </w:r>
          </w:p>
        </w:tc>
        <w:tc>
          <w:tcPr>
            <w:tcW w:w="1960" w:type="dxa"/>
            <w:vAlign w:val="bottom"/>
            <w:gridSpan w:val="2"/>
            <w:shd w:val="clear" w:color="auto" w:fill="CCEEFF"/>
          </w:tcPr>
          <w:p>
            <w:pPr>
              <w:jc w:val="center"/>
              <w:ind w:right="1120"/>
              <w:spacing w:after="0"/>
              <w:rPr>
                <w:sz w:val="20"/>
                <w:szCs w:val="20"/>
                <w:color w:val="auto"/>
              </w:rPr>
            </w:pPr>
            <w:r>
              <w:rPr>
                <w:rFonts w:ascii="Calibri" w:cs="Calibri" w:eastAsia="Calibri" w:hAnsi="Calibri"/>
                <w:sz w:val="17"/>
                <w:szCs w:val="17"/>
                <w:b w:val="1"/>
                <w:bCs w:val="1"/>
                <w:color w:val="auto"/>
              </w:rPr>
              <w:t>Abstentons</w:t>
            </w:r>
          </w:p>
        </w:tc>
        <w:tc>
          <w:tcPr>
            <w:tcW w:w="1700" w:type="dxa"/>
            <w:vAlign w:val="bottom"/>
            <w:gridSpan w:val="2"/>
            <w:shd w:val="clear" w:color="auto" w:fill="CCEEFF"/>
          </w:tcPr>
          <w:p>
            <w:pPr>
              <w:jc w:val="center"/>
              <w:ind w:right="460"/>
              <w:spacing w:after="0"/>
              <w:rPr>
                <w:sz w:val="20"/>
                <w:szCs w:val="20"/>
                <w:color w:val="auto"/>
              </w:rPr>
            </w:pPr>
            <w:r>
              <w:rPr>
                <w:rFonts w:ascii="Calibri" w:cs="Calibri" w:eastAsia="Calibri" w:hAnsi="Calibri"/>
                <w:sz w:val="17"/>
                <w:szCs w:val="17"/>
                <w:b w:val="1"/>
                <w:bCs w:val="1"/>
                <w:color w:val="auto"/>
                <w:w w:val="98"/>
              </w:rPr>
              <w:t>Broker Non-Votes</w:t>
            </w:r>
          </w:p>
        </w:tc>
      </w:tr>
      <w:tr>
        <w:trPr>
          <w:trHeight w:val="32"/>
        </w:trPr>
        <w:tc>
          <w:tcPr>
            <w:tcW w:w="7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r>
      <w:tr>
        <w:trPr>
          <w:trHeight w:val="212"/>
        </w:trPr>
        <w:tc>
          <w:tcPr>
            <w:tcW w:w="25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Sean H. Cohan</w:t>
            </w:r>
          </w:p>
        </w:tc>
        <w:tc>
          <w:tcPr>
            <w:tcW w:w="2840" w:type="dxa"/>
            <w:vAlign w:val="bottom"/>
            <w:gridSpan w:val="3"/>
          </w:tcPr>
          <w:p>
            <w:pPr>
              <w:jc w:val="center"/>
              <w:ind w:right="540"/>
              <w:spacing w:after="0" w:line="205" w:lineRule="exact"/>
              <w:rPr>
                <w:sz w:val="20"/>
                <w:szCs w:val="20"/>
                <w:color w:val="auto"/>
              </w:rPr>
            </w:pPr>
            <w:r>
              <w:rPr>
                <w:rFonts w:ascii="Calibri" w:cs="Calibri" w:eastAsia="Calibri" w:hAnsi="Calibri"/>
                <w:sz w:val="17"/>
                <w:szCs w:val="17"/>
                <w:color w:val="auto"/>
                <w:w w:val="99"/>
              </w:rPr>
              <w:t>111,611,753</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w w:val="96"/>
              </w:rPr>
              <w:t>815,917</w:t>
            </w:r>
          </w:p>
        </w:tc>
        <w:tc>
          <w:tcPr>
            <w:tcW w:w="1280" w:type="dxa"/>
            <w:vAlign w:val="bottom"/>
          </w:tcPr>
          <w:p>
            <w:pPr>
              <w:spacing w:after="0"/>
              <w:rPr>
                <w:sz w:val="18"/>
                <w:szCs w:val="18"/>
                <w:color w:val="auto"/>
              </w:rPr>
            </w:pP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154,435</w:t>
            </w:r>
          </w:p>
        </w:tc>
        <w:tc>
          <w:tcPr>
            <w:tcW w:w="1120" w:type="dxa"/>
            <w:vAlign w:val="bottom"/>
          </w:tcPr>
          <w:p>
            <w:pPr>
              <w:spacing w:after="0"/>
              <w:rPr>
                <w:sz w:val="18"/>
                <w:szCs w:val="18"/>
                <w:color w:val="auto"/>
              </w:rPr>
            </w:pPr>
          </w:p>
        </w:tc>
        <w:tc>
          <w:tcPr>
            <w:tcW w:w="12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10,095,524</w:t>
            </w:r>
          </w:p>
        </w:tc>
        <w:tc>
          <w:tcPr>
            <w:tcW w:w="460" w:type="dxa"/>
            <w:vAlign w:val="bottom"/>
          </w:tcPr>
          <w:p>
            <w:pPr>
              <w:spacing w:after="0"/>
              <w:rPr>
                <w:sz w:val="18"/>
                <w:szCs w:val="18"/>
                <w:color w:val="auto"/>
              </w:rPr>
            </w:pPr>
          </w:p>
        </w:tc>
      </w:tr>
      <w:tr>
        <w:trPr>
          <w:trHeight w:val="226"/>
        </w:trPr>
        <w:tc>
          <w:tcPr>
            <w:tcW w:w="25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Robert A. Gerard</w:t>
            </w:r>
          </w:p>
        </w:tc>
        <w:tc>
          <w:tcPr>
            <w:tcW w:w="2840" w:type="dxa"/>
            <w:vAlign w:val="bottom"/>
            <w:gridSpan w:val="3"/>
            <w:shd w:val="clear" w:color="auto" w:fill="CCEEFF"/>
          </w:tcPr>
          <w:p>
            <w:pPr>
              <w:jc w:val="center"/>
              <w:ind w:right="540"/>
              <w:spacing w:after="0"/>
              <w:rPr>
                <w:sz w:val="20"/>
                <w:szCs w:val="20"/>
                <w:color w:val="auto"/>
              </w:rPr>
            </w:pPr>
            <w:r>
              <w:rPr>
                <w:rFonts w:ascii="Calibri" w:cs="Calibri" w:eastAsia="Calibri" w:hAnsi="Calibri"/>
                <w:sz w:val="17"/>
                <w:szCs w:val="17"/>
                <w:color w:val="auto"/>
                <w:w w:val="99"/>
              </w:rPr>
              <w:t>109,877,204</w:t>
            </w:r>
          </w:p>
        </w:tc>
        <w:tc>
          <w:tcPr>
            <w:tcW w:w="9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8"/>
              </w:rPr>
              <w:t>2,554,453</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9"/>
              </w:rPr>
              <w:t>150,448</w:t>
            </w: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8"/>
              </w:rPr>
              <w:t>10,095,524</w:t>
            </w:r>
          </w:p>
        </w:tc>
        <w:tc>
          <w:tcPr>
            <w:tcW w:w="460" w:type="dxa"/>
            <w:vAlign w:val="bottom"/>
            <w:shd w:val="clear" w:color="auto" w:fill="CCEEFF"/>
          </w:tcPr>
          <w:p>
            <w:pPr>
              <w:spacing w:after="0"/>
              <w:rPr>
                <w:sz w:val="19"/>
                <w:szCs w:val="19"/>
                <w:color w:val="auto"/>
              </w:rPr>
            </w:pPr>
          </w:p>
        </w:tc>
      </w:tr>
      <w:tr>
        <w:trPr>
          <w:trHeight w:val="212"/>
        </w:trPr>
        <w:tc>
          <w:tcPr>
            <w:tcW w:w="25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Anuradha (Anu) Gupta</w:t>
            </w:r>
          </w:p>
        </w:tc>
        <w:tc>
          <w:tcPr>
            <w:tcW w:w="2840" w:type="dxa"/>
            <w:vAlign w:val="bottom"/>
            <w:gridSpan w:val="3"/>
          </w:tcPr>
          <w:p>
            <w:pPr>
              <w:jc w:val="center"/>
              <w:ind w:right="540"/>
              <w:spacing w:after="0" w:line="205" w:lineRule="exact"/>
              <w:rPr>
                <w:sz w:val="20"/>
                <w:szCs w:val="20"/>
                <w:color w:val="auto"/>
              </w:rPr>
            </w:pPr>
            <w:r>
              <w:rPr>
                <w:rFonts w:ascii="Calibri" w:cs="Calibri" w:eastAsia="Calibri" w:hAnsi="Calibri"/>
                <w:sz w:val="17"/>
                <w:szCs w:val="17"/>
                <w:color w:val="auto"/>
                <w:w w:val="99"/>
              </w:rPr>
              <w:t>111,552,584</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w w:val="96"/>
              </w:rPr>
              <w:t>874,129</w:t>
            </w:r>
          </w:p>
        </w:tc>
        <w:tc>
          <w:tcPr>
            <w:tcW w:w="1280" w:type="dxa"/>
            <w:vAlign w:val="bottom"/>
          </w:tcPr>
          <w:p>
            <w:pPr>
              <w:spacing w:after="0"/>
              <w:rPr>
                <w:sz w:val="18"/>
                <w:szCs w:val="18"/>
                <w:color w:val="auto"/>
              </w:rPr>
            </w:pP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155,392</w:t>
            </w:r>
          </w:p>
        </w:tc>
        <w:tc>
          <w:tcPr>
            <w:tcW w:w="1120" w:type="dxa"/>
            <w:vAlign w:val="bottom"/>
          </w:tcPr>
          <w:p>
            <w:pPr>
              <w:spacing w:after="0"/>
              <w:rPr>
                <w:sz w:val="18"/>
                <w:szCs w:val="18"/>
                <w:color w:val="auto"/>
              </w:rPr>
            </w:pPr>
          </w:p>
        </w:tc>
        <w:tc>
          <w:tcPr>
            <w:tcW w:w="12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10,095,524</w:t>
            </w:r>
          </w:p>
        </w:tc>
        <w:tc>
          <w:tcPr>
            <w:tcW w:w="460" w:type="dxa"/>
            <w:vAlign w:val="bottom"/>
          </w:tcPr>
          <w:p>
            <w:pPr>
              <w:spacing w:after="0"/>
              <w:rPr>
                <w:sz w:val="18"/>
                <w:szCs w:val="18"/>
                <w:color w:val="auto"/>
              </w:rPr>
            </w:pPr>
          </w:p>
        </w:tc>
      </w:tr>
      <w:tr>
        <w:trPr>
          <w:trHeight w:val="226"/>
        </w:trPr>
        <w:tc>
          <w:tcPr>
            <w:tcW w:w="25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Richard A. Johnson</w:t>
            </w:r>
          </w:p>
        </w:tc>
        <w:tc>
          <w:tcPr>
            <w:tcW w:w="2840" w:type="dxa"/>
            <w:vAlign w:val="bottom"/>
            <w:gridSpan w:val="3"/>
            <w:shd w:val="clear" w:color="auto" w:fill="CCEEFF"/>
          </w:tcPr>
          <w:p>
            <w:pPr>
              <w:jc w:val="center"/>
              <w:ind w:right="540"/>
              <w:spacing w:after="0"/>
              <w:rPr>
                <w:sz w:val="20"/>
                <w:szCs w:val="20"/>
                <w:color w:val="auto"/>
              </w:rPr>
            </w:pPr>
            <w:r>
              <w:rPr>
                <w:rFonts w:ascii="Calibri" w:cs="Calibri" w:eastAsia="Calibri" w:hAnsi="Calibri"/>
                <w:sz w:val="17"/>
                <w:szCs w:val="17"/>
                <w:color w:val="auto"/>
                <w:w w:val="99"/>
              </w:rPr>
              <w:t>112,051,857</w:t>
            </w:r>
          </w:p>
        </w:tc>
        <w:tc>
          <w:tcPr>
            <w:tcW w:w="9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6"/>
              </w:rPr>
              <w:t>379,820</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9"/>
              </w:rPr>
              <w:t>150,428</w:t>
            </w: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8"/>
              </w:rPr>
              <w:t>10,095,524</w:t>
            </w:r>
          </w:p>
        </w:tc>
        <w:tc>
          <w:tcPr>
            <w:tcW w:w="460" w:type="dxa"/>
            <w:vAlign w:val="bottom"/>
            <w:shd w:val="clear" w:color="auto" w:fill="CCEEFF"/>
          </w:tcPr>
          <w:p>
            <w:pPr>
              <w:spacing w:after="0"/>
              <w:rPr>
                <w:sz w:val="19"/>
                <w:szCs w:val="19"/>
                <w:color w:val="auto"/>
              </w:rPr>
            </w:pPr>
          </w:p>
        </w:tc>
      </w:tr>
      <w:tr>
        <w:trPr>
          <w:trHeight w:val="212"/>
        </w:trPr>
        <w:tc>
          <w:tcPr>
            <w:tcW w:w="25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Jefrey J. Jones II</w:t>
            </w:r>
          </w:p>
        </w:tc>
        <w:tc>
          <w:tcPr>
            <w:tcW w:w="2840" w:type="dxa"/>
            <w:vAlign w:val="bottom"/>
            <w:gridSpan w:val="3"/>
          </w:tcPr>
          <w:p>
            <w:pPr>
              <w:jc w:val="center"/>
              <w:ind w:right="540"/>
              <w:spacing w:after="0" w:line="205" w:lineRule="exact"/>
              <w:rPr>
                <w:sz w:val="20"/>
                <w:szCs w:val="20"/>
                <w:color w:val="auto"/>
              </w:rPr>
            </w:pPr>
            <w:r>
              <w:rPr>
                <w:rFonts w:ascii="Calibri" w:cs="Calibri" w:eastAsia="Calibri" w:hAnsi="Calibri"/>
                <w:sz w:val="17"/>
                <w:szCs w:val="17"/>
                <w:color w:val="auto"/>
                <w:w w:val="99"/>
              </w:rPr>
              <w:t>111,418,144</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1,024,377</w:t>
            </w:r>
          </w:p>
        </w:tc>
        <w:tc>
          <w:tcPr>
            <w:tcW w:w="1280" w:type="dxa"/>
            <w:vAlign w:val="bottom"/>
          </w:tcPr>
          <w:p>
            <w:pPr>
              <w:spacing w:after="0"/>
              <w:rPr>
                <w:sz w:val="18"/>
                <w:szCs w:val="18"/>
                <w:color w:val="auto"/>
              </w:rPr>
            </w:pP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139,584</w:t>
            </w:r>
          </w:p>
        </w:tc>
        <w:tc>
          <w:tcPr>
            <w:tcW w:w="1120" w:type="dxa"/>
            <w:vAlign w:val="bottom"/>
          </w:tcPr>
          <w:p>
            <w:pPr>
              <w:spacing w:after="0"/>
              <w:rPr>
                <w:sz w:val="18"/>
                <w:szCs w:val="18"/>
                <w:color w:val="auto"/>
              </w:rPr>
            </w:pPr>
          </w:p>
        </w:tc>
        <w:tc>
          <w:tcPr>
            <w:tcW w:w="12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10,095,524</w:t>
            </w:r>
          </w:p>
        </w:tc>
        <w:tc>
          <w:tcPr>
            <w:tcW w:w="460" w:type="dxa"/>
            <w:vAlign w:val="bottom"/>
          </w:tcPr>
          <w:p>
            <w:pPr>
              <w:spacing w:after="0"/>
              <w:rPr>
                <w:sz w:val="18"/>
                <w:szCs w:val="18"/>
                <w:color w:val="auto"/>
              </w:rPr>
            </w:pPr>
          </w:p>
        </w:tc>
      </w:tr>
      <w:tr>
        <w:trPr>
          <w:trHeight w:val="226"/>
        </w:trPr>
        <w:tc>
          <w:tcPr>
            <w:tcW w:w="25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Mia F. Mends</w:t>
            </w:r>
          </w:p>
        </w:tc>
        <w:tc>
          <w:tcPr>
            <w:tcW w:w="2840" w:type="dxa"/>
            <w:vAlign w:val="bottom"/>
            <w:gridSpan w:val="3"/>
            <w:shd w:val="clear" w:color="auto" w:fill="CCEEFF"/>
          </w:tcPr>
          <w:p>
            <w:pPr>
              <w:jc w:val="center"/>
              <w:ind w:right="540"/>
              <w:spacing w:after="0"/>
              <w:rPr>
                <w:sz w:val="20"/>
                <w:szCs w:val="20"/>
                <w:color w:val="auto"/>
              </w:rPr>
            </w:pPr>
            <w:r>
              <w:rPr>
                <w:rFonts w:ascii="Calibri" w:cs="Calibri" w:eastAsia="Calibri" w:hAnsi="Calibri"/>
                <w:sz w:val="17"/>
                <w:szCs w:val="17"/>
                <w:color w:val="auto"/>
                <w:w w:val="99"/>
              </w:rPr>
              <w:t>111,755,731</w:t>
            </w:r>
          </w:p>
        </w:tc>
        <w:tc>
          <w:tcPr>
            <w:tcW w:w="9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6"/>
              </w:rPr>
              <w:t>683,398</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9"/>
              </w:rPr>
              <w:t>142,976</w:t>
            </w: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8"/>
              </w:rPr>
              <w:t>10,095,524</w:t>
            </w:r>
          </w:p>
        </w:tc>
        <w:tc>
          <w:tcPr>
            <w:tcW w:w="460" w:type="dxa"/>
            <w:vAlign w:val="bottom"/>
            <w:shd w:val="clear" w:color="auto" w:fill="CCEEFF"/>
          </w:tcPr>
          <w:p>
            <w:pPr>
              <w:spacing w:after="0"/>
              <w:rPr>
                <w:sz w:val="19"/>
                <w:szCs w:val="19"/>
                <w:color w:val="auto"/>
              </w:rPr>
            </w:pPr>
          </w:p>
        </w:tc>
      </w:tr>
      <w:tr>
        <w:trPr>
          <w:trHeight w:val="212"/>
        </w:trPr>
        <w:tc>
          <w:tcPr>
            <w:tcW w:w="25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Victoria J. Reich</w:t>
            </w:r>
          </w:p>
        </w:tc>
        <w:tc>
          <w:tcPr>
            <w:tcW w:w="2840" w:type="dxa"/>
            <w:vAlign w:val="bottom"/>
            <w:gridSpan w:val="3"/>
          </w:tcPr>
          <w:p>
            <w:pPr>
              <w:jc w:val="center"/>
              <w:ind w:right="540"/>
              <w:spacing w:after="0" w:line="205" w:lineRule="exact"/>
              <w:rPr>
                <w:sz w:val="20"/>
                <w:szCs w:val="20"/>
                <w:color w:val="auto"/>
              </w:rPr>
            </w:pPr>
            <w:r>
              <w:rPr>
                <w:rFonts w:ascii="Calibri" w:cs="Calibri" w:eastAsia="Calibri" w:hAnsi="Calibri"/>
                <w:sz w:val="17"/>
                <w:szCs w:val="17"/>
                <w:color w:val="auto"/>
                <w:w w:val="99"/>
              </w:rPr>
              <w:t>110,305,258</w:t>
            </w:r>
          </w:p>
        </w:tc>
        <w:tc>
          <w:tcPr>
            <w:tcW w:w="9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2,139,248</w:t>
            </w:r>
          </w:p>
        </w:tc>
        <w:tc>
          <w:tcPr>
            <w:tcW w:w="1280" w:type="dxa"/>
            <w:vAlign w:val="bottom"/>
          </w:tcPr>
          <w:p>
            <w:pPr>
              <w:spacing w:after="0"/>
              <w:rPr>
                <w:sz w:val="18"/>
                <w:szCs w:val="18"/>
                <w:color w:val="auto"/>
              </w:rPr>
            </w:pPr>
          </w:p>
        </w:tc>
        <w:tc>
          <w:tcPr>
            <w:tcW w:w="840" w:type="dxa"/>
            <w:vAlign w:val="bottom"/>
          </w:tcPr>
          <w:p>
            <w:pPr>
              <w:jc w:val="center"/>
              <w:spacing w:after="0" w:line="205" w:lineRule="exact"/>
              <w:rPr>
                <w:sz w:val="20"/>
                <w:szCs w:val="20"/>
                <w:color w:val="auto"/>
              </w:rPr>
            </w:pPr>
            <w:r>
              <w:rPr>
                <w:rFonts w:ascii="Calibri" w:cs="Calibri" w:eastAsia="Calibri" w:hAnsi="Calibri"/>
                <w:sz w:val="17"/>
                <w:szCs w:val="17"/>
                <w:color w:val="auto"/>
                <w:w w:val="99"/>
              </w:rPr>
              <w:t>137,599</w:t>
            </w:r>
          </w:p>
        </w:tc>
        <w:tc>
          <w:tcPr>
            <w:tcW w:w="1120" w:type="dxa"/>
            <w:vAlign w:val="bottom"/>
          </w:tcPr>
          <w:p>
            <w:pPr>
              <w:spacing w:after="0"/>
              <w:rPr>
                <w:sz w:val="18"/>
                <w:szCs w:val="18"/>
                <w:color w:val="auto"/>
              </w:rPr>
            </w:pPr>
          </w:p>
        </w:tc>
        <w:tc>
          <w:tcPr>
            <w:tcW w:w="1240" w:type="dxa"/>
            <w:vAlign w:val="bottom"/>
          </w:tcPr>
          <w:p>
            <w:pPr>
              <w:jc w:val="center"/>
              <w:spacing w:after="0" w:line="205" w:lineRule="exact"/>
              <w:rPr>
                <w:sz w:val="20"/>
                <w:szCs w:val="20"/>
                <w:color w:val="auto"/>
              </w:rPr>
            </w:pPr>
            <w:r>
              <w:rPr>
                <w:rFonts w:ascii="Calibri" w:cs="Calibri" w:eastAsia="Calibri" w:hAnsi="Calibri"/>
                <w:sz w:val="17"/>
                <w:szCs w:val="17"/>
                <w:color w:val="auto"/>
                <w:w w:val="98"/>
              </w:rPr>
              <w:t>10,095,524</w:t>
            </w:r>
          </w:p>
        </w:tc>
        <w:tc>
          <w:tcPr>
            <w:tcW w:w="460" w:type="dxa"/>
            <w:vAlign w:val="bottom"/>
          </w:tcPr>
          <w:p>
            <w:pPr>
              <w:spacing w:after="0"/>
              <w:rPr>
                <w:sz w:val="18"/>
                <w:szCs w:val="18"/>
                <w:color w:val="auto"/>
              </w:rPr>
            </w:pPr>
          </w:p>
        </w:tc>
      </w:tr>
      <w:tr>
        <w:trPr>
          <w:trHeight w:val="226"/>
        </w:trPr>
        <w:tc>
          <w:tcPr>
            <w:tcW w:w="25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Mathew E. Winter</w:t>
            </w:r>
          </w:p>
        </w:tc>
        <w:tc>
          <w:tcPr>
            <w:tcW w:w="2840" w:type="dxa"/>
            <w:vAlign w:val="bottom"/>
            <w:gridSpan w:val="3"/>
            <w:shd w:val="clear" w:color="auto" w:fill="CCEEFF"/>
          </w:tcPr>
          <w:p>
            <w:pPr>
              <w:jc w:val="center"/>
              <w:ind w:right="540"/>
              <w:spacing w:after="0"/>
              <w:rPr>
                <w:sz w:val="20"/>
                <w:szCs w:val="20"/>
                <w:color w:val="auto"/>
              </w:rPr>
            </w:pPr>
            <w:r>
              <w:rPr>
                <w:rFonts w:ascii="Calibri" w:cs="Calibri" w:eastAsia="Calibri" w:hAnsi="Calibri"/>
                <w:sz w:val="17"/>
                <w:szCs w:val="17"/>
                <w:color w:val="auto"/>
                <w:w w:val="99"/>
              </w:rPr>
              <w:t>112,023,513</w:t>
            </w:r>
          </w:p>
        </w:tc>
        <w:tc>
          <w:tcPr>
            <w:tcW w:w="9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6"/>
              </w:rPr>
              <w:t>400,930</w:t>
            </w: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9"/>
              </w:rPr>
              <w:t>157,662</w:t>
            </w: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Calibri" w:cs="Calibri" w:eastAsia="Calibri" w:hAnsi="Calibri"/>
                <w:sz w:val="17"/>
                <w:szCs w:val="17"/>
                <w:color w:val="auto"/>
                <w:w w:val="98"/>
              </w:rPr>
              <w:t>10,095,524</w:t>
            </w:r>
          </w:p>
        </w:tc>
        <w:tc>
          <w:tcPr>
            <w:tcW w:w="4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04" w:lineRule="exact"/>
        <w:rPr>
          <w:sz w:val="20"/>
          <w:szCs w:val="20"/>
          <w:color w:val="auto"/>
        </w:rPr>
      </w:pPr>
    </w:p>
    <w:p>
      <w:pPr>
        <w:ind w:left="620" w:hanging="307"/>
        <w:spacing w:after="0" w:line="230" w:lineRule="auto"/>
        <w:tabs>
          <w:tab w:leader="none" w:pos="840" w:val="left"/>
        </w:tabs>
        <w:numPr>
          <w:ilvl w:val="0"/>
          <w:numId w:val="4"/>
        </w:numPr>
        <w:rPr>
          <w:rFonts w:ascii="Calibri" w:cs="Calibri" w:eastAsia="Calibri" w:hAnsi="Calibri"/>
          <w:sz w:val="19"/>
          <w:szCs w:val="19"/>
          <w:color w:val="auto"/>
        </w:rPr>
      </w:pPr>
      <w:r>
        <w:rPr>
          <w:rFonts w:ascii="Calibri" w:cs="Calibri" w:eastAsia="Calibri" w:hAnsi="Calibri"/>
          <w:sz w:val="19"/>
          <w:szCs w:val="19"/>
          <w:color w:val="auto"/>
        </w:rPr>
        <w:t>The proposal for the ratfcaton of the appointment of Deloite &amp; Touche LLP as the Company’s independent registered public accountng frm for the fscal year ending June 30, 2025 was approved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Calibri" w:cs="Calibri" w:eastAsia="Calibri" w:hAnsi="Calibri"/>
                <w:sz w:val="17"/>
                <w:szCs w:val="17"/>
                <w:b w:val="1"/>
                <w:bCs w:val="1"/>
                <w:color w:val="auto"/>
                <w:w w:val="98"/>
              </w:rPr>
              <w:t>Votes For</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960"/>
              <w:spacing w:after="0"/>
              <w:rPr>
                <w:sz w:val="20"/>
                <w:szCs w:val="20"/>
                <w:color w:val="auto"/>
              </w:rPr>
            </w:pPr>
            <w:r>
              <w:rPr>
                <w:rFonts w:ascii="Calibri" w:cs="Calibri" w:eastAsia="Calibri" w:hAnsi="Calibri"/>
                <w:sz w:val="17"/>
                <w:szCs w:val="17"/>
                <w:b w:val="1"/>
                <w:bCs w:val="1"/>
                <w:color w:val="auto"/>
                <w:w w:val="98"/>
              </w:rPr>
              <w:t>Votes Against</w:t>
            </w:r>
          </w:p>
        </w:tc>
        <w:tc>
          <w:tcPr>
            <w:tcW w:w="2680" w:type="dxa"/>
            <w:vAlign w:val="bottom"/>
            <w:gridSpan w:val="3"/>
            <w:shd w:val="clear" w:color="auto" w:fill="CCEEFF"/>
          </w:tcPr>
          <w:p>
            <w:pPr>
              <w:jc w:val="center"/>
              <w:spacing w:after="0"/>
              <w:rPr>
                <w:sz w:val="20"/>
                <w:szCs w:val="20"/>
                <w:color w:val="auto"/>
              </w:rPr>
            </w:pPr>
            <w:r>
              <w:rPr>
                <w:rFonts w:ascii="Calibri" w:cs="Calibri" w:eastAsia="Calibri" w:hAnsi="Calibri"/>
                <w:sz w:val="17"/>
                <w:szCs w:val="17"/>
                <w:b w:val="1"/>
                <w:bCs w:val="1"/>
                <w:color w:val="auto"/>
              </w:rPr>
              <w:t>Abstentons</w:t>
            </w:r>
          </w:p>
        </w:tc>
        <w:tc>
          <w:tcPr>
            <w:tcW w:w="2900" w:type="dxa"/>
            <w:vAlign w:val="bottom"/>
            <w:gridSpan w:val="3"/>
            <w:shd w:val="clear" w:color="auto" w:fill="CCEEFF"/>
          </w:tcPr>
          <w:p>
            <w:pPr>
              <w:jc w:val="center"/>
              <w:ind w:left="14"/>
              <w:spacing w:after="0"/>
              <w:rPr>
                <w:sz w:val="20"/>
                <w:szCs w:val="20"/>
                <w:color w:val="auto"/>
              </w:rPr>
            </w:pPr>
            <w:r>
              <w:rPr>
                <w:rFonts w:ascii="Calibri" w:cs="Calibri" w:eastAsia="Calibri" w:hAnsi="Calibri"/>
                <w:sz w:val="17"/>
                <w:szCs w:val="17"/>
                <w:b w:val="1"/>
                <w:bCs w:val="1"/>
                <w:color w:val="auto"/>
                <w:w w:val="98"/>
              </w:rPr>
              <w:t>Broker Non-Votes</w:t>
            </w:r>
          </w:p>
        </w:tc>
      </w:tr>
      <w:tr>
        <w:trPr>
          <w:trHeight w:val="32"/>
        </w:trPr>
        <w:tc>
          <w:tcPr>
            <w:tcW w:w="10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205"/>
        </w:trPr>
        <w:tc>
          <w:tcPr>
            <w:tcW w:w="2800" w:type="dxa"/>
            <w:vAlign w:val="bottom"/>
            <w:gridSpan w:val="3"/>
          </w:tcPr>
          <w:p>
            <w:pPr>
              <w:jc w:val="right"/>
              <w:ind w:right="960"/>
              <w:spacing w:after="0" w:line="205" w:lineRule="exact"/>
              <w:rPr>
                <w:sz w:val="20"/>
                <w:szCs w:val="20"/>
                <w:color w:val="auto"/>
              </w:rPr>
            </w:pPr>
            <w:r>
              <w:rPr>
                <w:rFonts w:ascii="Calibri" w:cs="Calibri" w:eastAsia="Calibri" w:hAnsi="Calibri"/>
                <w:sz w:val="17"/>
                <w:szCs w:val="17"/>
                <w:color w:val="auto"/>
              </w:rPr>
              <w:t>121,873,136</w:t>
            </w:r>
          </w:p>
        </w:tc>
        <w:tc>
          <w:tcPr>
            <w:tcW w:w="1880" w:type="dxa"/>
            <w:vAlign w:val="bottom"/>
            <w:gridSpan w:val="2"/>
          </w:tcPr>
          <w:p>
            <w:pPr>
              <w:jc w:val="right"/>
              <w:ind w:right="94"/>
              <w:spacing w:after="0" w:line="205" w:lineRule="exact"/>
              <w:rPr>
                <w:sz w:val="20"/>
                <w:szCs w:val="20"/>
                <w:color w:val="auto"/>
              </w:rPr>
            </w:pPr>
            <w:r>
              <w:rPr>
                <w:rFonts w:ascii="Calibri" w:cs="Calibri" w:eastAsia="Calibri" w:hAnsi="Calibri"/>
                <w:sz w:val="17"/>
                <w:szCs w:val="17"/>
                <w:color w:val="auto"/>
              </w:rPr>
              <w:t>667,116</w:t>
            </w:r>
          </w:p>
        </w:tc>
        <w:tc>
          <w:tcPr>
            <w:tcW w:w="980" w:type="dxa"/>
            <w:vAlign w:val="bottom"/>
          </w:tcPr>
          <w:p>
            <w:pPr>
              <w:spacing w:after="0"/>
              <w:rPr>
                <w:sz w:val="17"/>
                <w:szCs w:val="17"/>
                <w:color w:val="auto"/>
              </w:rPr>
            </w:pPr>
          </w:p>
        </w:tc>
        <w:tc>
          <w:tcPr>
            <w:tcW w:w="1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137,377</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gridSpan w:val="2"/>
          </w:tcPr>
          <w:p>
            <w:pPr>
              <w:jc w:val="center"/>
              <w:ind w:right="780"/>
              <w:spacing w:after="0" w:line="205" w:lineRule="exact"/>
              <w:rPr>
                <w:sz w:val="20"/>
                <w:szCs w:val="20"/>
                <w:color w:val="auto"/>
              </w:rPr>
            </w:pPr>
            <w:r>
              <w:rPr>
                <w:rFonts w:ascii="Calibri" w:cs="Calibri" w:eastAsia="Calibri" w:hAnsi="Calibri"/>
                <w:sz w:val="17"/>
                <w:szCs w:val="17"/>
                <w:color w:val="auto"/>
              </w:rPr>
              <w:t>—</w:t>
            </w:r>
          </w:p>
        </w:tc>
      </w:tr>
    </w:tbl>
    <w:p>
      <w:pPr>
        <w:spacing w:after="0" w:line="200" w:lineRule="exact"/>
        <w:rPr>
          <w:sz w:val="20"/>
          <w:szCs w:val="20"/>
          <w:color w:val="auto"/>
        </w:rPr>
      </w:pPr>
    </w:p>
    <w:p>
      <w:pPr>
        <w:spacing w:after="0" w:line="299" w:lineRule="exact"/>
        <w:rPr>
          <w:sz w:val="20"/>
          <w:szCs w:val="20"/>
          <w:color w:val="auto"/>
        </w:rPr>
      </w:pPr>
    </w:p>
    <w:p>
      <w:pPr>
        <w:ind w:left="680" w:hanging="367"/>
        <w:spacing w:after="0"/>
        <w:tabs>
          <w:tab w:leader="none" w:pos="680" w:val="left"/>
        </w:tabs>
        <w:numPr>
          <w:ilvl w:val="0"/>
          <w:numId w:val="5"/>
        </w:numPr>
        <w:rPr>
          <w:rFonts w:ascii="Calibri" w:cs="Calibri" w:eastAsia="Calibri" w:hAnsi="Calibri"/>
          <w:sz w:val="19"/>
          <w:szCs w:val="19"/>
          <w:color w:val="auto"/>
        </w:rPr>
      </w:pPr>
      <w:r>
        <w:rPr>
          <w:rFonts w:ascii="Calibri" w:cs="Calibri" w:eastAsia="Calibri" w:hAnsi="Calibri"/>
          <w:sz w:val="19"/>
          <w:szCs w:val="19"/>
          <w:color w:val="auto"/>
        </w:rPr>
        <w:t>The advisory proposal on the Company’s named executve ofcer compensaton was approved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Calibri" w:cs="Calibri" w:eastAsia="Calibri" w:hAnsi="Calibri"/>
                <w:sz w:val="17"/>
                <w:szCs w:val="17"/>
                <w:b w:val="1"/>
                <w:bCs w:val="1"/>
                <w:color w:val="auto"/>
                <w:w w:val="98"/>
              </w:rPr>
              <w:t>Votes For</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960"/>
              <w:spacing w:after="0"/>
              <w:rPr>
                <w:sz w:val="20"/>
                <w:szCs w:val="20"/>
                <w:color w:val="auto"/>
              </w:rPr>
            </w:pPr>
            <w:r>
              <w:rPr>
                <w:rFonts w:ascii="Calibri" w:cs="Calibri" w:eastAsia="Calibri" w:hAnsi="Calibri"/>
                <w:sz w:val="17"/>
                <w:szCs w:val="17"/>
                <w:b w:val="1"/>
                <w:bCs w:val="1"/>
                <w:color w:val="auto"/>
                <w:w w:val="98"/>
              </w:rPr>
              <w:t>Votes Against</w:t>
            </w:r>
          </w:p>
        </w:tc>
        <w:tc>
          <w:tcPr>
            <w:tcW w:w="2680" w:type="dxa"/>
            <w:vAlign w:val="bottom"/>
            <w:gridSpan w:val="3"/>
            <w:shd w:val="clear" w:color="auto" w:fill="CCEEFF"/>
          </w:tcPr>
          <w:p>
            <w:pPr>
              <w:jc w:val="center"/>
              <w:spacing w:after="0"/>
              <w:rPr>
                <w:sz w:val="20"/>
                <w:szCs w:val="20"/>
                <w:color w:val="auto"/>
              </w:rPr>
            </w:pPr>
            <w:r>
              <w:rPr>
                <w:rFonts w:ascii="Calibri" w:cs="Calibri" w:eastAsia="Calibri" w:hAnsi="Calibri"/>
                <w:sz w:val="17"/>
                <w:szCs w:val="17"/>
                <w:b w:val="1"/>
                <w:bCs w:val="1"/>
                <w:color w:val="auto"/>
              </w:rPr>
              <w:t>Abstentons</w:t>
            </w:r>
          </w:p>
        </w:tc>
        <w:tc>
          <w:tcPr>
            <w:tcW w:w="2900" w:type="dxa"/>
            <w:vAlign w:val="bottom"/>
            <w:gridSpan w:val="3"/>
            <w:shd w:val="clear" w:color="auto" w:fill="CCEEFF"/>
          </w:tcPr>
          <w:p>
            <w:pPr>
              <w:jc w:val="center"/>
              <w:ind w:left="14"/>
              <w:spacing w:after="0"/>
              <w:rPr>
                <w:sz w:val="20"/>
                <w:szCs w:val="20"/>
                <w:color w:val="auto"/>
              </w:rPr>
            </w:pPr>
            <w:r>
              <w:rPr>
                <w:rFonts w:ascii="Calibri" w:cs="Calibri" w:eastAsia="Calibri" w:hAnsi="Calibri"/>
                <w:sz w:val="17"/>
                <w:szCs w:val="17"/>
                <w:b w:val="1"/>
                <w:bCs w:val="1"/>
                <w:color w:val="auto"/>
                <w:w w:val="98"/>
              </w:rPr>
              <w:t>Broker Non-Votes</w:t>
            </w:r>
          </w:p>
        </w:tc>
      </w:tr>
      <w:tr>
        <w:trPr>
          <w:trHeight w:val="32"/>
        </w:trPr>
        <w:tc>
          <w:tcPr>
            <w:tcW w:w="10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205"/>
        </w:trPr>
        <w:tc>
          <w:tcPr>
            <w:tcW w:w="2800" w:type="dxa"/>
            <w:vAlign w:val="bottom"/>
            <w:gridSpan w:val="3"/>
          </w:tcPr>
          <w:p>
            <w:pPr>
              <w:jc w:val="right"/>
              <w:ind w:right="960"/>
              <w:spacing w:after="0" w:line="205" w:lineRule="exact"/>
              <w:rPr>
                <w:sz w:val="20"/>
                <w:szCs w:val="20"/>
                <w:color w:val="auto"/>
              </w:rPr>
            </w:pPr>
            <w:r>
              <w:rPr>
                <w:rFonts w:ascii="Calibri" w:cs="Calibri" w:eastAsia="Calibri" w:hAnsi="Calibri"/>
                <w:sz w:val="17"/>
                <w:szCs w:val="17"/>
                <w:color w:val="auto"/>
              </w:rPr>
              <w:t>109,691,967</w:t>
            </w:r>
          </w:p>
        </w:tc>
        <w:tc>
          <w:tcPr>
            <w:tcW w:w="1880" w:type="dxa"/>
            <w:vAlign w:val="bottom"/>
            <w:gridSpan w:val="2"/>
          </w:tcPr>
          <w:p>
            <w:pPr>
              <w:jc w:val="right"/>
              <w:ind w:right="34"/>
              <w:spacing w:after="0" w:line="205" w:lineRule="exact"/>
              <w:rPr>
                <w:sz w:val="20"/>
                <w:szCs w:val="20"/>
                <w:color w:val="auto"/>
              </w:rPr>
            </w:pPr>
            <w:r>
              <w:rPr>
                <w:rFonts w:ascii="Calibri" w:cs="Calibri" w:eastAsia="Calibri" w:hAnsi="Calibri"/>
                <w:sz w:val="17"/>
                <w:szCs w:val="17"/>
                <w:color w:val="auto"/>
              </w:rPr>
              <w:t>2,250,257</w:t>
            </w:r>
          </w:p>
        </w:tc>
        <w:tc>
          <w:tcPr>
            <w:tcW w:w="980" w:type="dxa"/>
            <w:vAlign w:val="bottom"/>
          </w:tcPr>
          <w:p>
            <w:pPr>
              <w:spacing w:after="0"/>
              <w:rPr>
                <w:sz w:val="17"/>
                <w:szCs w:val="17"/>
                <w:color w:val="auto"/>
              </w:rPr>
            </w:pPr>
          </w:p>
        </w:tc>
        <w:tc>
          <w:tcPr>
            <w:tcW w:w="1780" w:type="dxa"/>
            <w:vAlign w:val="bottom"/>
            <w:gridSpan w:val="2"/>
          </w:tcPr>
          <w:p>
            <w:pPr>
              <w:jc w:val="right"/>
              <w:ind w:right="140"/>
              <w:spacing w:after="0" w:line="205" w:lineRule="exact"/>
              <w:rPr>
                <w:sz w:val="20"/>
                <w:szCs w:val="20"/>
                <w:color w:val="auto"/>
              </w:rPr>
            </w:pPr>
            <w:r>
              <w:rPr>
                <w:rFonts w:ascii="Calibri" w:cs="Calibri" w:eastAsia="Calibri" w:hAnsi="Calibri"/>
                <w:sz w:val="17"/>
                <w:szCs w:val="17"/>
                <w:color w:val="auto"/>
              </w:rPr>
              <w:t>639,881</w:t>
            </w:r>
          </w:p>
        </w:tc>
        <w:tc>
          <w:tcPr>
            <w:tcW w:w="900" w:type="dxa"/>
            <w:vAlign w:val="bottom"/>
          </w:tcPr>
          <w:p>
            <w:pPr>
              <w:spacing w:after="0"/>
              <w:rPr>
                <w:sz w:val="17"/>
                <w:szCs w:val="17"/>
                <w:color w:val="auto"/>
              </w:rPr>
            </w:pPr>
          </w:p>
        </w:tc>
        <w:tc>
          <w:tcPr>
            <w:tcW w:w="2120" w:type="dxa"/>
            <w:vAlign w:val="bottom"/>
            <w:gridSpan w:val="2"/>
          </w:tcPr>
          <w:p>
            <w:pPr>
              <w:jc w:val="right"/>
              <w:ind w:right="240"/>
              <w:spacing w:after="0" w:line="205" w:lineRule="exact"/>
              <w:rPr>
                <w:sz w:val="20"/>
                <w:szCs w:val="20"/>
                <w:color w:val="auto"/>
              </w:rPr>
            </w:pPr>
            <w:r>
              <w:rPr>
                <w:rFonts w:ascii="Calibri" w:cs="Calibri" w:eastAsia="Calibri" w:hAnsi="Calibri"/>
                <w:sz w:val="17"/>
                <w:szCs w:val="17"/>
                <w:color w:val="auto"/>
              </w:rPr>
              <w:t>10,095,524</w:t>
            </w:r>
          </w:p>
        </w:tc>
        <w:tc>
          <w:tcPr>
            <w:tcW w:w="780" w:type="dxa"/>
            <w:vAlign w:val="bottom"/>
          </w:tcPr>
          <w:p>
            <w:pPr>
              <w:spacing w:after="0"/>
              <w:rPr>
                <w:sz w:val="17"/>
                <w:szCs w:val="17"/>
                <w:color w:val="auto"/>
              </w:rPr>
            </w:pPr>
          </w:p>
        </w:tc>
      </w:tr>
      <w:tr>
        <w:trPr>
          <w:trHeight w:val="2457"/>
        </w:trPr>
        <w:tc>
          <w:tcPr>
            <w:tcW w:w="1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21"/>
          <w:szCs w:val="21"/>
          <w:b w:val="1"/>
          <w:bCs w:val="1"/>
          <w:color w:val="auto"/>
        </w:rPr>
        <w:t>SIGNATURES</w:t>
      </w:r>
    </w:p>
    <w:p>
      <w:pPr>
        <w:spacing w:after="0" w:line="103" w:lineRule="exact"/>
        <w:rPr>
          <w:sz w:val="20"/>
          <w:szCs w:val="20"/>
          <w:color w:val="auto"/>
        </w:rPr>
      </w:pPr>
    </w:p>
    <w:p>
      <w:pPr>
        <w:spacing w:after="0" w:line="229" w:lineRule="auto"/>
        <w:rPr>
          <w:sz w:val="20"/>
          <w:szCs w:val="20"/>
          <w:color w:val="auto"/>
        </w:rPr>
      </w:pPr>
      <w:r>
        <w:rPr>
          <w:rFonts w:ascii="Calibri" w:cs="Calibri" w:eastAsia="Calibri" w:hAnsi="Calibri"/>
          <w:sz w:val="21"/>
          <w:szCs w:val="21"/>
          <w:color w:val="auto"/>
        </w:rPr>
        <w:t>Pursuant to the requirements of the Securites Exchange Act of 1934, the registrant has duly caused this report to be signed on its behalf by the undersigned hereunto duly authorized.</w:t>
      </w:r>
    </w:p>
    <w:p>
      <w:pPr>
        <w:spacing w:after="0" w:line="247" w:lineRule="exact"/>
        <w:rPr>
          <w:sz w:val="20"/>
          <w:szCs w:val="20"/>
          <w:color w:val="auto"/>
        </w:rPr>
      </w:pPr>
    </w:p>
    <w:p>
      <w:pPr>
        <w:ind w:left="5700"/>
        <w:spacing w:after="0"/>
        <w:rPr>
          <w:sz w:val="20"/>
          <w:szCs w:val="20"/>
          <w:color w:val="auto"/>
        </w:rPr>
      </w:pPr>
      <w:r>
        <w:rPr>
          <w:rFonts w:ascii="Calibri" w:cs="Calibri" w:eastAsia="Calibri" w:hAnsi="Calibri"/>
          <w:sz w:val="21"/>
          <w:szCs w:val="21"/>
          <w:b w:val="1"/>
          <w:bCs w:val="1"/>
          <w:color w:val="auto"/>
        </w:rPr>
        <w:t>H&amp;R BLOCK,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780" w:val="left"/>
          <w:tab w:leader="none" w:pos="5120" w:val="left"/>
          <w:tab w:leader="none" w:pos="5680" w:val="left"/>
        </w:tabs>
        <w:rPr>
          <w:sz w:val="20"/>
          <w:szCs w:val="20"/>
          <w:color w:val="auto"/>
        </w:rPr>
      </w:pPr>
      <w:r>
        <w:rPr>
          <w:rFonts w:ascii="Calibri" w:cs="Calibri" w:eastAsia="Calibri" w:hAnsi="Calibri"/>
          <w:sz w:val="21"/>
          <w:szCs w:val="21"/>
          <w:color w:val="auto"/>
        </w:rPr>
        <w:t>Date:</w:t>
      </w:r>
      <w:r>
        <w:rPr>
          <w:sz w:val="20"/>
          <w:szCs w:val="20"/>
          <w:color w:val="auto"/>
        </w:rPr>
        <w:tab/>
      </w:r>
      <w:r>
        <w:rPr>
          <w:rFonts w:ascii="Calibri" w:cs="Calibri" w:eastAsia="Calibri" w:hAnsi="Calibri"/>
          <w:sz w:val="21"/>
          <w:szCs w:val="21"/>
          <w:color w:val="auto"/>
        </w:rPr>
        <w:t>November 8, 2024</w:t>
      </w:r>
      <w:r>
        <w:rPr>
          <w:sz w:val="20"/>
          <w:szCs w:val="20"/>
          <w:color w:val="auto"/>
        </w:rPr>
        <w:tab/>
      </w:r>
      <w:r>
        <w:rPr>
          <w:rFonts w:ascii="Calibri" w:cs="Calibri" w:eastAsia="Calibri" w:hAnsi="Calibri"/>
          <w:sz w:val="21"/>
          <w:szCs w:val="21"/>
          <w:color w:val="auto"/>
        </w:rPr>
        <w:t>By:</w:t>
      </w:r>
      <w:r>
        <w:rPr>
          <w:sz w:val="20"/>
          <w:szCs w:val="20"/>
          <w:color w:val="auto"/>
        </w:rPr>
        <w:tab/>
      </w:r>
      <w:r>
        <w:rPr>
          <w:rFonts w:ascii="Calibri" w:cs="Calibri" w:eastAsia="Calibri" w:hAnsi="Calibri"/>
          <w:sz w:val="20"/>
          <w:szCs w:val="20"/>
          <w:color w:val="auto"/>
        </w:rPr>
        <w:t>/s/ Katharine M. Haynes</w:t>
      </w:r>
    </w:p>
    <w:p>
      <w:pPr>
        <w:spacing w:after="0" w:line="40" w:lineRule="exact"/>
        <w:rPr>
          <w:sz w:val="20"/>
          <w:szCs w:val="20"/>
          <w:color w:val="auto"/>
        </w:rPr>
      </w:pPr>
    </w:p>
    <w:p>
      <w:pPr>
        <w:ind w:left="5700"/>
        <w:spacing w:after="0"/>
        <w:rPr>
          <w:sz w:val="20"/>
          <w:szCs w:val="20"/>
          <w:color w:val="auto"/>
        </w:rPr>
      </w:pPr>
      <w:r>
        <w:rPr>
          <w:rFonts w:ascii="Calibri" w:cs="Calibri" w:eastAsia="Calibri" w:hAnsi="Calibri"/>
          <w:sz w:val="21"/>
          <w:szCs w:val="21"/>
          <w:color w:val="auto"/>
        </w:rPr>
        <w:t>Katharine M.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-153670</wp:posOffset>
            </wp:positionV>
            <wp:extent cx="3536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Calibri" w:cs="Calibri" w:eastAsia="Calibri" w:hAnsi="Calibri"/>
          <w:sz w:val="21"/>
          <w:szCs w:val="21"/>
          <w:color w:val="auto"/>
        </w:rPr>
        <w:t>Vice President and Corporate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2024-11-08T16:07:36Z</dcterms:created>
  <dcterms:modified xsi:type="dcterms:W3CDTF">2024-11-08T16:07:36Z</dcterms:modified>
</cp:coreProperties>
</file>